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宋体" w:eastAsia="黑体" w:cs="黑体"/>
          <w:b/>
          <w:bCs/>
          <w:color w:val="000000"/>
          <w:kern w:val="0"/>
          <w:sz w:val="43"/>
          <w:szCs w:val="43"/>
          <w:lang w:val="en-US" w:eastAsia="zh-CN" w:bidi="ar"/>
        </w:rPr>
      </w:pPr>
      <w:r>
        <w:rPr>
          <w:rFonts w:hint="eastAsia" w:ascii="黑体" w:hAnsi="宋体" w:eastAsia="黑体" w:cs="黑体"/>
          <w:b/>
          <w:bCs/>
          <w:color w:val="000000"/>
          <w:kern w:val="0"/>
          <w:sz w:val="43"/>
          <w:szCs w:val="43"/>
          <w:lang w:val="en-US" w:eastAsia="zh-CN" w:bidi="ar"/>
        </w:rPr>
        <w:t>习近平在中国人民大学考察时强调 坚持党的领导传承红色基因扎根中国大地 走出一条建设中国特色世界</w:t>
      </w:r>
    </w:p>
    <w:p>
      <w:pPr>
        <w:keepNext w:val="0"/>
        <w:keepLines w:val="0"/>
        <w:widowControl/>
        <w:suppressLineNumbers w:val="0"/>
        <w:jc w:val="center"/>
      </w:pPr>
      <w:r>
        <w:rPr>
          <w:rFonts w:ascii="仿宋_GB2312" w:hAnsi="宋体" w:eastAsia="仿宋_GB2312" w:cs="仿宋_GB2312"/>
          <w:color w:val="000000"/>
          <w:kern w:val="0"/>
          <w:sz w:val="31"/>
          <w:szCs w:val="31"/>
          <w:lang w:val="en-US" w:eastAsia="zh-CN" w:bidi="ar"/>
        </w:rPr>
        <w:t xml:space="preserve">2022 年 4 月 </w:t>
      </w:r>
      <w:r>
        <w:rPr>
          <w:rFonts w:hint="eastAsia" w:ascii="仿宋_GB2312" w:hAnsi="宋体" w:eastAsia="仿宋_GB2312" w:cs="仿宋_GB2312"/>
          <w:color w:val="000000"/>
          <w:kern w:val="0"/>
          <w:sz w:val="31"/>
          <w:szCs w:val="31"/>
          <w:lang w:val="en-US" w:eastAsia="zh-CN" w:bidi="ar"/>
        </w:rPr>
        <w:t xml:space="preserve">25 </w:t>
      </w:r>
      <w:r>
        <w:rPr>
          <w:rFonts w:ascii="仿宋_GB2312" w:hAnsi="宋体" w:eastAsia="仿宋_GB2312" w:cs="仿宋_GB2312"/>
          <w:color w:val="000000"/>
          <w:kern w:val="0"/>
          <w:sz w:val="31"/>
          <w:szCs w:val="31"/>
          <w:lang w:val="en-US" w:eastAsia="zh-CN" w:bidi="ar"/>
        </w:rPr>
        <w:t>日 来源：新华网</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新华社北京4月25日电 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pPr>
        <w:keepNext w:val="0"/>
        <w:keepLines w:val="0"/>
        <w:widowControl/>
        <w:suppressLineNumbers w:val="0"/>
        <w:ind w:firstLine="620" w:firstLineChars="200"/>
        <w:jc w:val="left"/>
        <w:rPr>
          <w:rFonts w:hint="eastAsia" w:ascii="仿宋_GB2312" w:hAnsi="宋体" w:eastAsia="仿宋_GB2312" w:cs="仿宋_GB2312"/>
          <w:color w:val="404040"/>
          <w:kern w:val="0"/>
          <w:sz w:val="31"/>
          <w:szCs w:val="31"/>
          <w:lang w:val="en-US" w:eastAsia="zh-CN" w:bidi="ar"/>
        </w:rPr>
      </w:pPr>
      <w:r>
        <w:rPr>
          <w:rFonts w:hint="eastAsia" w:ascii="仿宋_GB2312" w:hAnsi="宋体" w:eastAsia="仿宋_GB2312" w:cs="仿宋_GB2312"/>
          <w:color w:val="404040"/>
          <w:kern w:val="0"/>
          <w:sz w:val="31"/>
          <w:szCs w:val="31"/>
          <w:lang w:val="en-US" w:eastAsia="zh-CN" w:bidi="ar"/>
        </w:rPr>
        <w:t>习近平离开学校时，道路两旁站满了师生，大家激动地向总书记问好，齐声高呼“青春向党、不负人民”、“复兴栋梁、强国先锋”，习近平向大家挥手致意，掌声、欢呼声在校园内久久回荡。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WNmNmQ0ZGQ3MTVmNjUwNWVkMTE5NzIwODc1NGIifQ=="/>
  </w:docVars>
  <w:rsids>
    <w:rsidRoot w:val="39F523F4"/>
    <w:rsid w:val="02E148DB"/>
    <w:rsid w:val="11C269BB"/>
    <w:rsid w:val="39F523F4"/>
    <w:rsid w:val="3A86417A"/>
    <w:rsid w:val="44EE3048"/>
    <w:rsid w:val="4F6603AB"/>
    <w:rsid w:val="5CA57C8D"/>
    <w:rsid w:val="7F79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2022-04-24T01:56:00Z</dcterms:created>
  <dc:creator>Cuckoo、</dc:creator>
  <cp:lastModifiedBy>园园</cp:lastModifiedBy>
  <dcterms:modified xsi:type="dcterms:W3CDTF">2022-04-26T07:07:59Z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DA3ABF58A08B42E48A8E3CC00FF6F102</vt:lpwstr>
  </property>
</Properties>
</file>