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32"/>
        </w:rPr>
      </w:pPr>
      <w:r>
        <w:rPr>
          <w:rFonts w:hint="eastAsia"/>
          <w:b/>
          <w:bCs/>
          <w:sz w:val="24"/>
          <w:szCs w:val="32"/>
          <w:lang w:eastAsia="zh-CN"/>
        </w:rPr>
        <w:t>四川大学华西第二医院临床科室外送标本检测项目</w:t>
      </w:r>
      <w:r>
        <w:rPr>
          <w:rFonts w:hint="eastAsia"/>
          <w:b/>
          <w:bCs/>
          <w:sz w:val="24"/>
          <w:szCs w:val="32"/>
        </w:rPr>
        <w:t>遴选</w:t>
      </w:r>
      <w:r>
        <w:rPr>
          <w:rFonts w:hint="eastAsia"/>
          <w:b/>
          <w:bCs/>
          <w:sz w:val="24"/>
          <w:szCs w:val="32"/>
          <w:lang w:eastAsia="zh-CN"/>
        </w:rPr>
        <w:t>调研</w:t>
      </w:r>
      <w:r>
        <w:rPr>
          <w:rFonts w:hint="eastAsia"/>
          <w:b/>
          <w:bCs/>
          <w:sz w:val="24"/>
          <w:szCs w:val="32"/>
        </w:rPr>
        <w:t>需求表</w:t>
      </w:r>
    </w:p>
    <w:tbl>
      <w:tblPr>
        <w:tblStyle w:val="6"/>
        <w:tblW w:w="4923" w:type="pct"/>
        <w:tblInd w:w="113" w:type="dxa"/>
        <w:tblLayout w:type="fixed"/>
        <w:tblCellMar>
          <w:top w:w="0" w:type="dxa"/>
          <w:left w:w="108" w:type="dxa"/>
          <w:bottom w:w="0" w:type="dxa"/>
          <w:right w:w="108" w:type="dxa"/>
        </w:tblCellMar>
      </w:tblPr>
      <w:tblGrid>
        <w:gridCol w:w="393"/>
        <w:gridCol w:w="510"/>
        <w:gridCol w:w="66"/>
        <w:gridCol w:w="2717"/>
        <w:gridCol w:w="1531"/>
        <w:gridCol w:w="2435"/>
        <w:gridCol w:w="739"/>
      </w:tblGrid>
      <w:tr>
        <w:trPr>
          <w:trHeight w:val="607" w:hRule="atLeast"/>
        </w:trPr>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需求</w:t>
            </w:r>
          </w:p>
        </w:tc>
        <w:tc>
          <w:tcPr>
            <w:tcW w:w="7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bidi="ar"/>
              </w:rPr>
            </w:pPr>
            <w:bookmarkStart w:id="0" w:name="OLE_LINK3"/>
            <w:r>
              <w:rPr>
                <w:rFonts w:hint="eastAsia" w:ascii="宋体" w:hAnsi="宋体" w:eastAsia="宋体" w:cs="宋体"/>
                <w:color w:val="000000"/>
                <w:kern w:val="0"/>
                <w:szCs w:val="21"/>
                <w:lang w:eastAsia="zh-CN" w:bidi="ar"/>
              </w:rPr>
              <w:t>四川大学华西第二医院临床科室</w:t>
            </w:r>
            <w:r>
              <w:rPr>
                <w:rFonts w:hint="eastAsia" w:ascii="宋体" w:hAnsi="宋体" w:eastAsia="宋体" w:cs="宋体"/>
                <w:color w:val="000000"/>
                <w:kern w:val="0"/>
                <w:szCs w:val="21"/>
                <w:lang w:bidi="ar"/>
              </w:rPr>
              <w:t>外送</w:t>
            </w:r>
            <w:r>
              <w:rPr>
                <w:rFonts w:hint="eastAsia" w:ascii="宋体" w:hAnsi="宋体" w:eastAsia="宋体" w:cs="宋体"/>
                <w:color w:val="000000"/>
                <w:kern w:val="0"/>
                <w:szCs w:val="21"/>
                <w:lang w:eastAsia="zh-CN" w:bidi="ar"/>
              </w:rPr>
              <w:t>标本</w:t>
            </w:r>
            <w:r>
              <w:rPr>
                <w:rFonts w:hint="eastAsia" w:ascii="宋体" w:hAnsi="宋体" w:eastAsia="宋体" w:cs="宋体"/>
                <w:color w:val="000000"/>
                <w:kern w:val="0"/>
                <w:szCs w:val="21"/>
                <w:lang w:bidi="ar"/>
              </w:rPr>
              <w:t>检测</w:t>
            </w:r>
            <w:bookmarkEnd w:id="0"/>
            <w:r>
              <w:rPr>
                <w:rFonts w:hint="eastAsia" w:ascii="宋体" w:hAnsi="宋体" w:eastAsia="宋体" w:cs="宋体"/>
                <w:color w:val="000000"/>
                <w:kern w:val="0"/>
                <w:szCs w:val="21"/>
                <w:lang w:eastAsia="zh-CN" w:bidi="ar"/>
              </w:rPr>
              <w:t>项目遴选调研</w:t>
            </w:r>
          </w:p>
        </w:tc>
      </w:tr>
      <w:tr>
        <w:tblPrEx>
          <w:tblCellMar>
            <w:top w:w="0" w:type="dxa"/>
            <w:left w:w="108" w:type="dxa"/>
            <w:bottom w:w="0" w:type="dxa"/>
            <w:right w:w="108" w:type="dxa"/>
          </w:tblCellMar>
        </w:tblPrEx>
        <w:trPr>
          <w:trHeight w:val="607" w:hRule="atLeast"/>
        </w:trPr>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项目</w:t>
            </w:r>
          </w:p>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名称</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肿瘤分子遗传类</w:t>
            </w:r>
            <w:r>
              <w:rPr>
                <w:rFonts w:hint="eastAsia" w:ascii="宋体" w:hAnsi="宋体" w:eastAsia="宋体" w:cs="宋体"/>
                <w:color w:val="000000"/>
                <w:kern w:val="0"/>
                <w:szCs w:val="21"/>
                <w:lang w:bidi="ar"/>
              </w:rPr>
              <w:t>项目</w:t>
            </w:r>
            <w:r>
              <w:rPr>
                <w:rFonts w:hint="eastAsia" w:ascii="宋体" w:hAnsi="宋体" w:eastAsia="宋体" w:cs="宋体"/>
                <w:szCs w:val="21"/>
              </w:rPr>
              <w:t>外送</w:t>
            </w:r>
            <w:r>
              <w:rPr>
                <w:rFonts w:hint="eastAsia" w:ascii="宋体" w:hAnsi="宋体" w:eastAsia="宋体" w:cs="宋体"/>
                <w:color w:val="000000"/>
                <w:kern w:val="0"/>
                <w:szCs w:val="21"/>
                <w:lang w:bidi="ar"/>
              </w:rPr>
              <w:t>检测服务平台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是否进口产品</w:t>
            </w:r>
          </w:p>
        </w:tc>
        <w:tc>
          <w:tcPr>
            <w:tcW w:w="3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sym w:font="Wingdings 2" w:char="00A3"/>
            </w:r>
            <w:r>
              <w:rPr>
                <w:rFonts w:hint="eastAsia" w:ascii="宋体" w:hAnsi="宋体" w:eastAsia="宋体" w:cs="宋体"/>
                <w:color w:val="000000"/>
                <w:kern w:val="0"/>
                <w:szCs w:val="21"/>
                <w:lang w:bidi="ar"/>
              </w:rPr>
              <w:t xml:space="preserve">  是  </w:t>
            </w:r>
            <w:r>
              <w:rPr>
                <w:rFonts w:hint="eastAsia" w:ascii="宋体" w:hAnsi="宋体" w:eastAsia="宋体" w:cs="宋体"/>
                <w:color w:val="000000"/>
                <w:kern w:val="0"/>
                <w:szCs w:val="21"/>
                <w:lang w:bidi="ar"/>
              </w:rPr>
              <w:sym w:font="Wingdings 2" w:char="0052"/>
            </w:r>
            <w:r>
              <w:rPr>
                <w:rFonts w:hint="eastAsia" w:ascii="宋体" w:hAnsi="宋体" w:eastAsia="宋体" w:cs="宋体"/>
                <w:color w:val="000000"/>
                <w:kern w:val="0"/>
                <w:szCs w:val="21"/>
                <w:lang w:bidi="ar"/>
              </w:rPr>
              <w:t xml:space="preserve">   否</w:t>
            </w:r>
          </w:p>
        </w:tc>
      </w:tr>
      <w:tr>
        <w:tblPrEx>
          <w:tblCellMar>
            <w:top w:w="0" w:type="dxa"/>
            <w:left w:w="108" w:type="dxa"/>
            <w:bottom w:w="0" w:type="dxa"/>
            <w:right w:w="108" w:type="dxa"/>
          </w:tblCellMar>
        </w:tblPrEx>
        <w:trPr>
          <w:trHeight w:val="90"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遴选需求</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技术要求</w:t>
            </w:r>
          </w:p>
        </w:tc>
        <w:tc>
          <w:tcPr>
            <w:tcW w:w="6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spacing w:line="340" w:lineRule="exact"/>
              <w:ind w:right="76"/>
              <w:rPr>
                <w:rFonts w:hint="eastAsia" w:ascii="宋体" w:hAnsi="宋体" w:eastAsia="宋体" w:cs="宋体"/>
                <w:color w:val="auto"/>
                <w:szCs w:val="21"/>
              </w:rPr>
            </w:pPr>
          </w:p>
          <w:p>
            <w:pPr>
              <w:widowControl/>
              <w:wordWrap w:val="0"/>
              <w:spacing w:line="340" w:lineRule="exact"/>
              <w:ind w:right="76"/>
              <w:rPr>
                <w:rFonts w:hint="eastAsia" w:ascii="宋体" w:hAnsi="宋体" w:eastAsia="宋体" w:cs="宋体"/>
                <w:color w:val="auto"/>
                <w:szCs w:val="21"/>
              </w:rPr>
            </w:pPr>
            <w:r>
              <w:rPr>
                <w:rFonts w:hint="eastAsia" w:ascii="宋体" w:hAnsi="宋体" w:eastAsia="宋体" w:cs="宋体"/>
                <w:color w:val="auto"/>
                <w:szCs w:val="21"/>
              </w:rPr>
              <w:t>本遴选针对满足</w:t>
            </w:r>
            <w:r>
              <w:rPr>
                <w:rFonts w:hint="eastAsia" w:ascii="宋体" w:hAnsi="宋体" w:eastAsia="宋体" w:cs="宋体"/>
                <w:color w:val="auto"/>
                <w:kern w:val="0"/>
                <w:szCs w:val="21"/>
                <w:lang w:val="en-US" w:eastAsia="zh-CN" w:bidi="ar"/>
              </w:rPr>
              <w:t>肿瘤分子类</w:t>
            </w:r>
            <w:r>
              <w:rPr>
                <w:rFonts w:hint="eastAsia" w:ascii="宋体" w:hAnsi="宋体" w:eastAsia="宋体" w:cs="宋体"/>
                <w:color w:val="auto"/>
                <w:kern w:val="0"/>
                <w:szCs w:val="21"/>
                <w:lang w:bidi="ar"/>
              </w:rPr>
              <w:t>包项目检测的</w:t>
            </w:r>
            <w:r>
              <w:rPr>
                <w:rFonts w:hint="eastAsia" w:ascii="宋体" w:hAnsi="宋体" w:eastAsia="宋体" w:cs="宋体"/>
                <w:color w:val="auto"/>
                <w:szCs w:val="21"/>
              </w:rPr>
              <w:t>外送</w:t>
            </w:r>
            <w:r>
              <w:rPr>
                <w:rFonts w:hint="eastAsia" w:ascii="宋体" w:hAnsi="宋体" w:eastAsia="宋体" w:cs="宋体"/>
                <w:color w:val="auto"/>
                <w:kern w:val="0"/>
                <w:szCs w:val="21"/>
                <w:lang w:bidi="ar"/>
              </w:rPr>
              <w:t>检测服务平台</w:t>
            </w:r>
            <w:r>
              <w:rPr>
                <w:rFonts w:hint="eastAsia" w:ascii="宋体" w:hAnsi="宋体" w:eastAsia="宋体" w:cs="宋体"/>
                <w:color w:val="auto"/>
                <w:szCs w:val="21"/>
              </w:rPr>
              <w:t>。</w:t>
            </w:r>
          </w:p>
          <w:p>
            <w:pPr>
              <w:pStyle w:val="9"/>
              <w:rPr>
                <w:color w:val="auto"/>
              </w:rPr>
            </w:pPr>
            <w:r>
              <w:rPr>
                <w:rFonts w:hint="eastAsia"/>
                <w:color w:val="auto"/>
              </w:rPr>
              <w:t>本次遴选内容：外送检测服务平台需满足临床科室确有需求、本院尚未开展符合本院外送规定的检验检测项目的各类服务，包括但不限于提供物流服务、配套检测设备、配套服务人员、外送标本检测等。</w:t>
            </w:r>
          </w:p>
          <w:p>
            <w:pPr>
              <w:pStyle w:val="9"/>
              <w:rPr>
                <w:color w:val="auto"/>
              </w:rPr>
            </w:pPr>
          </w:p>
          <w:p>
            <w:pPr>
              <w:pStyle w:val="9"/>
              <w:rPr>
                <w:b/>
                <w:bCs w:val="0"/>
                <w:color w:val="auto"/>
              </w:rPr>
            </w:pPr>
            <w:r>
              <w:rPr>
                <w:rFonts w:hint="eastAsia"/>
                <w:b/>
                <w:bCs w:val="0"/>
                <w:color w:val="auto"/>
              </w:rPr>
              <w:t>第一部分：检测服务平台的实验室要求</w:t>
            </w:r>
          </w:p>
          <w:p>
            <w:pPr>
              <w:pStyle w:val="9"/>
              <w:rPr>
                <w:color w:val="auto"/>
              </w:rPr>
            </w:pPr>
            <w:r>
              <w:rPr>
                <w:rFonts w:hint="eastAsia"/>
                <w:color w:val="auto"/>
              </w:rPr>
              <w:t>*1.资质要求：供应商必须是在中华人民共和国境内注册的法人或其他组织，并提供单位身份的证明文件（企业营业执照、事业法人登记证书或其他组织证明其身份的文件）。具有独立承担民事责任的能力，实验室具备医疗机构执业许可证，实验室通过专业部门或临床检验中心资质验收，具有临床基因扩增实验室资质，并提供相关证明材料。</w:t>
            </w:r>
          </w:p>
          <w:p>
            <w:pPr>
              <w:pStyle w:val="9"/>
              <w:rPr>
                <w:color w:val="auto"/>
              </w:rPr>
            </w:pPr>
          </w:p>
          <w:p>
            <w:pPr>
              <w:pStyle w:val="9"/>
              <w:rPr>
                <w:color w:val="auto"/>
              </w:rPr>
            </w:pPr>
            <w:r>
              <w:rPr>
                <w:rFonts w:hint="eastAsia"/>
                <w:color w:val="auto"/>
              </w:rPr>
              <w:t>*2.场地要求：供应商的实验室需具备P2或以上生物安全实验室检测条件，有独立的新风净化系统和空调系统，仪器设备齐全，能完成服务要求项目的检测、数据分析和报告解读等。</w:t>
            </w:r>
          </w:p>
          <w:p>
            <w:pPr>
              <w:pStyle w:val="9"/>
              <w:rPr>
                <w:color w:val="auto"/>
              </w:rPr>
            </w:pPr>
          </w:p>
          <w:p>
            <w:pPr>
              <w:pStyle w:val="9"/>
              <w:rPr>
                <w:color w:val="auto"/>
              </w:rPr>
            </w:pPr>
            <w:r>
              <w:rPr>
                <w:rFonts w:hint="eastAsia"/>
                <w:color w:val="auto"/>
              </w:rPr>
              <w:t>3.质量体系要求：供应商的实验室管理体系遵循ISO15189要求（通过ISO15189认可或实验室技术负责人及质量负责人有相应经历），能同步医院管理规范，每年定期参与并通过国家临检中心室间质评，对于没有室间质评的项目，实验室能独立建立室内质控方案，并能与同行头部实验室达成实验室间比对计划，且90%以上的比对结果相一致。</w:t>
            </w:r>
          </w:p>
          <w:p>
            <w:pPr>
              <w:rPr>
                <w:color w:val="auto"/>
              </w:rPr>
            </w:pPr>
          </w:p>
          <w:p>
            <w:pPr>
              <w:pStyle w:val="9"/>
              <w:spacing w:line="240" w:lineRule="auto"/>
              <w:rPr>
                <w:color w:val="auto"/>
              </w:rPr>
            </w:pPr>
            <w:r>
              <w:rPr>
                <w:rFonts w:hint="eastAsia"/>
                <w:color w:val="auto"/>
              </w:rPr>
              <w:t>*4.特殊检测平台配置要求：</w:t>
            </w:r>
          </w:p>
          <w:p>
            <w:pPr>
              <w:pStyle w:val="9"/>
              <w:numPr>
                <w:ilvl w:val="0"/>
                <w:numId w:val="0"/>
              </w:numPr>
              <w:spacing w:line="240" w:lineRule="auto"/>
              <w:rPr>
                <w:b w:val="0"/>
                <w:bCs/>
                <w:color w:val="auto"/>
                <w:highlight w:val="none"/>
              </w:rPr>
            </w:pPr>
            <w:r>
              <w:rPr>
                <w:rFonts w:hint="eastAsia"/>
                <w:b w:val="0"/>
                <w:bCs/>
                <w:color w:val="auto"/>
              </w:rPr>
              <w:t>分子遗传检测平台：</w:t>
            </w:r>
            <w:r>
              <w:rPr>
                <w:rFonts w:hint="eastAsia"/>
                <w:b w:val="0"/>
                <w:bCs/>
                <w:color w:val="auto"/>
                <w:highlight w:val="none"/>
                <w:lang w:val="en-US" w:eastAsia="zh-CN"/>
              </w:rPr>
              <w:t>实验室本地</w:t>
            </w:r>
            <w:r>
              <w:rPr>
                <w:rFonts w:hint="eastAsia"/>
                <w:b w:val="0"/>
                <w:bCs/>
                <w:color w:val="auto"/>
                <w:highlight w:val="none"/>
              </w:rPr>
              <w:t>配备核酸全自动提取仪，能满足多通道自动化提取，配备核酸定量检测仪、常规PCR扩增仪、荧光PCR扩增仪、数字PCR仪、一代测序仪及结果分析查看软件，</w:t>
            </w:r>
            <w:r>
              <w:rPr>
                <w:rFonts w:hint="eastAsia"/>
                <w:b w:val="0"/>
                <w:bCs/>
                <w:color w:val="auto"/>
                <w:highlight w:val="none"/>
                <w:lang w:val="en-US" w:eastAsia="zh-CN"/>
              </w:rPr>
              <w:t>配置有小通量、中通量及大通量的测序仪，覆盖至少3个不同品牌测序厂家，能满足不同测序通量及不同测序测序方案需求，同时可自主开展三代测序检测项目，满足临床三代测序项目检测需求</w:t>
            </w:r>
            <w:r>
              <w:rPr>
                <w:rFonts w:hint="eastAsia"/>
                <w:b w:val="0"/>
                <w:bCs/>
                <w:color w:val="auto"/>
                <w:highlight w:val="none"/>
              </w:rPr>
              <w:t>。</w:t>
            </w:r>
          </w:p>
          <w:p>
            <w:pPr>
              <w:pStyle w:val="9"/>
              <w:rPr>
                <w:color w:val="auto"/>
              </w:rPr>
            </w:pPr>
          </w:p>
          <w:p>
            <w:pPr>
              <w:widowControl/>
              <w:wordWrap w:val="0"/>
              <w:spacing w:line="340" w:lineRule="exact"/>
              <w:ind w:right="76"/>
              <w:rPr>
                <w:rFonts w:hint="eastAsia" w:ascii="宋体" w:hAnsi="宋体" w:eastAsia="宋体" w:cs="宋体"/>
                <w:color w:val="auto"/>
                <w:szCs w:val="21"/>
              </w:rPr>
            </w:pPr>
            <w:r>
              <w:rPr>
                <w:rFonts w:hint="eastAsia" w:ascii="宋体" w:hAnsi="宋体" w:eastAsia="宋体" w:cs="宋体"/>
                <w:b/>
                <w:bCs/>
                <w:color w:val="auto"/>
                <w:szCs w:val="21"/>
              </w:rPr>
              <w:t>第二部分：项目服务要求</w:t>
            </w:r>
          </w:p>
          <w:p>
            <w:pPr>
              <w:widowControl/>
              <w:wordWrap w:val="0"/>
              <w:ind w:right="76"/>
              <w:rPr>
                <w:rFonts w:hint="eastAsia" w:ascii="宋体" w:hAnsi="宋体" w:cs="宋体"/>
                <w:color w:val="auto"/>
                <w:szCs w:val="21"/>
              </w:rPr>
            </w:pPr>
            <w:r>
              <w:rPr>
                <w:rFonts w:hint="eastAsia" w:ascii="宋体" w:hAnsi="宋体" w:eastAsia="宋体" w:cs="宋体"/>
                <w:color w:val="auto"/>
                <w:szCs w:val="21"/>
              </w:rPr>
              <w:t>1.供应商提供的检测服务项目均需严格遵守我国相关法律法规与相关行业标准；</w:t>
            </w:r>
            <w:r>
              <w:rPr>
                <w:rFonts w:hint="eastAsia"/>
                <w:color w:val="auto"/>
              </w:rPr>
              <w:t>供应商提供的服务项目、服务价格及服务质量等均接受医院指定部门的监管。</w:t>
            </w:r>
          </w:p>
          <w:p>
            <w:pPr>
              <w:pStyle w:val="9"/>
              <w:rPr>
                <w:rFonts w:hint="eastAsia" w:eastAsiaTheme="minorEastAsia"/>
                <w:color w:val="auto"/>
                <w:lang w:val="en-US" w:eastAsia="zh-CN"/>
              </w:rPr>
            </w:pPr>
            <w:r>
              <w:rPr>
                <w:rFonts w:hint="eastAsia"/>
                <w:color w:val="auto"/>
                <w:lang w:val="en-US" w:eastAsia="zh-CN"/>
              </w:rPr>
              <w:t xml:space="preserve"> </w:t>
            </w:r>
          </w:p>
          <w:p>
            <w:pPr>
              <w:widowControl/>
              <w:wordWrap w:val="0"/>
              <w:spacing w:line="340" w:lineRule="exact"/>
              <w:ind w:right="76"/>
              <w:rPr>
                <w:rFonts w:eastAsia="宋体"/>
                <w:color w:val="auto"/>
              </w:rPr>
            </w:pPr>
            <w:r>
              <w:rPr>
                <w:rFonts w:hint="eastAsia" w:ascii="宋体" w:hAnsi="宋体" w:eastAsia="宋体" w:cs="宋体"/>
                <w:color w:val="auto"/>
                <w:szCs w:val="21"/>
              </w:rPr>
              <w:t>2.供应商有固定人员在医院进行临床需求沟通和收集标本；样本的采集、保存及转运必须按照</w:t>
            </w:r>
            <w:bookmarkStart w:id="1" w:name="OLE_LINK4"/>
            <w:r>
              <w:rPr>
                <w:rFonts w:hint="eastAsia" w:ascii="宋体" w:hAnsi="宋体" w:eastAsia="宋体" w:cs="宋体"/>
                <w:color w:val="auto"/>
                <w:szCs w:val="21"/>
              </w:rPr>
              <w:t>《医疗机构管理条例实施细则》及国标最新版的《医学实验室——样本采集、运送、接收和处理的要求》进行保存</w:t>
            </w:r>
            <w:bookmarkEnd w:id="1"/>
            <w:r>
              <w:rPr>
                <w:rFonts w:hint="eastAsia" w:ascii="宋体" w:hAnsi="宋体" w:eastAsia="宋体" w:cs="宋体"/>
                <w:color w:val="auto"/>
                <w:szCs w:val="21"/>
              </w:rPr>
              <w:t>及转运，并能全流程通过信息化监控。</w:t>
            </w:r>
          </w:p>
          <w:p>
            <w:pPr>
              <w:pStyle w:val="9"/>
              <w:rPr>
                <w:color w:val="auto"/>
              </w:rPr>
            </w:pPr>
          </w:p>
          <w:p>
            <w:pPr>
              <w:pStyle w:val="9"/>
              <w:rPr>
                <w:color w:val="auto"/>
              </w:rPr>
            </w:pPr>
            <w:r>
              <w:rPr>
                <w:rFonts w:hint="eastAsia" w:ascii="宋体" w:hAnsi="宋体" w:eastAsia="宋体" w:cs="宋体"/>
                <w:color w:val="auto"/>
                <w:spacing w:val="0"/>
                <w:szCs w:val="21"/>
              </w:rPr>
              <w:t>*3.</w:t>
            </w:r>
            <w:r>
              <w:rPr>
                <w:rFonts w:hint="eastAsia" w:ascii="宋体" w:hAnsi="宋体" w:eastAsia="宋体" w:cs="宋体"/>
                <w:color w:val="auto"/>
                <w:szCs w:val="21"/>
                <w:highlight w:val="none"/>
              </w:rPr>
              <w:t xml:space="preserve"> 供应商自主</w:t>
            </w:r>
            <w:r>
              <w:rPr>
                <w:rFonts w:hint="eastAsia"/>
                <w:color w:val="auto"/>
                <w:highlight w:val="none"/>
              </w:rPr>
              <w:t>开展的项目服务占遴选包总项目至少60%，不得将检测服务外包</w:t>
            </w:r>
            <w:r>
              <w:rPr>
                <w:rFonts w:hint="eastAsia"/>
                <w:color w:val="auto"/>
              </w:rPr>
              <w:t>。服务方可随时提出检验项目的各类服务需求包括且不限于增加项目或改善流程等，供应商应在两月内匹配各类检测服务需求。</w:t>
            </w:r>
          </w:p>
          <w:p>
            <w:pPr>
              <w:widowControl/>
              <w:wordWrap w:val="0"/>
              <w:spacing w:line="340" w:lineRule="exact"/>
              <w:ind w:right="76"/>
              <w:rPr>
                <w:color w:val="auto"/>
                <w:lang w:bidi="ar"/>
              </w:rPr>
            </w:pPr>
          </w:p>
          <w:p>
            <w:pPr>
              <w:widowControl/>
              <w:wordWrap w:val="0"/>
              <w:spacing w:line="340" w:lineRule="exact"/>
              <w:ind w:right="76"/>
              <w:rPr>
                <w:rFonts w:hint="eastAsia" w:ascii="宋体" w:hAnsi="宋体" w:eastAsia="宋体" w:cs="宋体"/>
                <w:color w:val="auto"/>
                <w:szCs w:val="21"/>
              </w:rPr>
            </w:pPr>
            <w:r>
              <w:rPr>
                <w:rFonts w:hint="eastAsia" w:ascii="Times New Roman"/>
                <w:bCs/>
                <w:color w:val="auto"/>
                <w:spacing w:val="10"/>
                <w:szCs w:val="20"/>
              </w:rPr>
              <w:t>4.</w:t>
            </w:r>
            <w:r>
              <w:rPr>
                <w:rFonts w:hint="eastAsia"/>
                <w:color w:val="auto"/>
                <w:lang w:bidi="ar"/>
              </w:rPr>
              <w:t>供应商开展的检测项目能随时提供报告解读及临床需求解答服务等。</w:t>
            </w:r>
          </w:p>
          <w:p>
            <w:pPr>
              <w:widowControl/>
              <w:wordWrap w:val="0"/>
              <w:spacing w:line="340" w:lineRule="exact"/>
              <w:ind w:right="76"/>
              <w:rPr>
                <w:rFonts w:hint="eastAsia" w:ascii="宋体" w:hAnsi="宋体" w:eastAsia="宋体" w:cs="宋体"/>
                <w:color w:val="auto"/>
                <w:szCs w:val="21"/>
              </w:rPr>
            </w:pPr>
          </w:p>
          <w:p>
            <w:pPr>
              <w:widowControl/>
              <w:wordWrap w:val="0"/>
              <w:spacing w:line="340" w:lineRule="exact"/>
              <w:ind w:right="76"/>
              <w:rPr>
                <w:color w:val="auto"/>
              </w:rPr>
            </w:pPr>
            <w:r>
              <w:rPr>
                <w:rFonts w:hint="eastAsia" w:ascii="宋体" w:hAnsi="宋体" w:eastAsia="宋体" w:cs="宋体"/>
                <w:color w:val="auto"/>
                <w:szCs w:val="21"/>
              </w:rPr>
              <w:t>5.供应商</w:t>
            </w:r>
            <w:r>
              <w:rPr>
                <w:rFonts w:hint="eastAsia"/>
                <w:color w:val="auto"/>
              </w:rPr>
              <w:t>能提供定制化试剂服务，根据临床需求提供定制化检测项目，配合临床进行科研及成果转化。</w:t>
            </w:r>
          </w:p>
          <w:p>
            <w:pPr>
              <w:pStyle w:val="9"/>
              <w:rPr>
                <w:color w:val="auto"/>
              </w:rPr>
            </w:pPr>
          </w:p>
          <w:p>
            <w:pPr>
              <w:pStyle w:val="9"/>
              <w:numPr>
                <w:ilvl w:val="0"/>
                <w:numId w:val="1"/>
              </w:numPr>
              <w:rPr>
                <w:rFonts w:hint="eastAsia"/>
                <w:color w:val="auto"/>
                <w:lang w:bidi="ar"/>
              </w:rPr>
            </w:pPr>
            <w:r>
              <w:rPr>
                <w:rFonts w:hint="eastAsia"/>
                <w:color w:val="auto"/>
                <w:lang w:bidi="ar"/>
              </w:rPr>
              <w:t>供应商有独立研发试剂及自主研发检测项目的能力，能够建立LDT项目。</w:t>
            </w:r>
          </w:p>
          <w:p>
            <w:pPr>
              <w:pStyle w:val="9"/>
              <w:numPr>
                <w:ilvl w:val="0"/>
                <w:numId w:val="0"/>
              </w:numPr>
              <w:rPr>
                <w:rFonts w:hint="eastAsia"/>
                <w:color w:val="auto"/>
                <w:lang w:bidi="ar"/>
              </w:rPr>
            </w:pPr>
          </w:p>
          <w:p>
            <w:pPr>
              <w:pStyle w:val="9"/>
              <w:spacing w:line="240" w:lineRule="auto"/>
              <w:rPr>
                <w:rFonts w:hint="eastAsia"/>
                <w:color w:val="auto"/>
                <w:lang w:bidi="ar"/>
              </w:rPr>
            </w:pPr>
            <w:r>
              <w:rPr>
                <w:rFonts w:hint="eastAsia"/>
                <w:color w:val="auto"/>
                <w:highlight w:val="none"/>
              </w:rPr>
              <w:t>*7.供应商在特殊项目上能提供</w:t>
            </w:r>
            <w:r>
              <w:rPr>
                <w:rFonts w:hint="eastAsia"/>
                <w:color w:val="auto"/>
                <w:highlight w:val="none"/>
                <w:lang w:val="en-US" w:eastAsia="zh-CN"/>
              </w:rPr>
              <w:t>多中心</w:t>
            </w:r>
            <w:r>
              <w:rPr>
                <w:rFonts w:hint="eastAsia"/>
                <w:color w:val="auto"/>
                <w:highlight w:val="none"/>
              </w:rPr>
              <w:t>研究服务，联动国内多家大型三甲医院及行业领域专家开展多中心项目研究，整合资源促进临床学科发展。</w:t>
            </w:r>
          </w:p>
          <w:p>
            <w:pPr>
              <w:widowControl/>
              <w:jc w:val="left"/>
              <w:textAlignment w:val="center"/>
              <w:rPr>
                <w:rFonts w:hint="eastAsia" w:ascii="宋体" w:hAnsi="宋体" w:eastAsia="宋体" w:cs="宋体"/>
                <w:b/>
                <w:bCs/>
                <w:color w:val="auto"/>
                <w:kern w:val="0"/>
                <w:szCs w:val="21"/>
                <w:lang w:bidi="ar"/>
              </w:rPr>
            </w:pPr>
          </w:p>
          <w:p>
            <w:pPr>
              <w:widowControl/>
              <w:jc w:val="left"/>
              <w:textAlignment w:val="center"/>
              <w:rPr>
                <w:rFonts w:hint="eastAsia" w:ascii="宋体" w:hAnsi="宋体" w:cs="宋体"/>
                <w:b/>
                <w:bCs/>
                <w:color w:val="auto"/>
                <w:kern w:val="0"/>
                <w:szCs w:val="21"/>
                <w:lang w:bidi="ar"/>
              </w:rPr>
            </w:pPr>
            <w:r>
              <w:rPr>
                <w:rFonts w:hint="eastAsia"/>
                <w:color w:val="auto"/>
              </w:rPr>
              <w:t>*</w:t>
            </w:r>
            <w:r>
              <w:rPr>
                <w:rFonts w:hint="eastAsia"/>
                <w:color w:val="auto"/>
                <w:lang w:val="en-US" w:eastAsia="zh-CN"/>
              </w:rPr>
              <w:t>8</w:t>
            </w:r>
            <w:r>
              <w:rPr>
                <w:rFonts w:hint="eastAsia"/>
                <w:color w:val="auto"/>
              </w:rPr>
              <w:t>.</w:t>
            </w:r>
            <w:r>
              <w:rPr>
                <w:rFonts w:hint="eastAsia" w:ascii="宋体" w:hAnsi="宋体" w:eastAsia="宋体" w:cs="宋体"/>
                <w:color w:val="auto"/>
                <w:kern w:val="0"/>
                <w:szCs w:val="21"/>
                <w:lang w:val="en-US" w:eastAsia="zh-CN" w:bidi="ar"/>
              </w:rPr>
              <w:t>肿瘤分子类</w:t>
            </w:r>
            <w:r>
              <w:rPr>
                <w:rFonts w:hint="eastAsia"/>
                <w:color w:val="auto"/>
              </w:rPr>
              <w:t>包项目需求明细：</w:t>
            </w:r>
          </w:p>
          <w:tbl>
            <w:tblPr>
              <w:tblStyle w:val="7"/>
              <w:tblW w:w="6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028"/>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25" w:hRule="atLeast"/>
              </w:trPr>
              <w:tc>
                <w:tcPr>
                  <w:tcW w:w="2028" w:type="dxa"/>
                  <w:shd w:val="clear" w:color="auto" w:fill="FFFFFF" w:themeFill="background1"/>
                  <w:vAlign w:val="center"/>
                </w:tcPr>
                <w:p>
                  <w:pPr>
                    <w:jc w:val="center"/>
                    <w:rPr>
                      <w:rFonts w:hint="eastAsia" w:ascii="仿宋" w:hAnsi="仿宋" w:eastAsia="仿宋" w:cs="仿宋"/>
                      <w:b/>
                      <w:bCs/>
                      <w:color w:val="auto"/>
                    </w:rPr>
                  </w:pPr>
                  <w:r>
                    <w:rPr>
                      <w:rFonts w:hint="eastAsia" w:ascii="仿宋" w:hAnsi="仿宋" w:eastAsia="仿宋" w:cs="仿宋"/>
                      <w:b/>
                      <w:bCs/>
                      <w:color w:val="auto"/>
                    </w:rPr>
                    <w:t>项目名称</w:t>
                  </w:r>
                </w:p>
              </w:tc>
              <w:tc>
                <w:tcPr>
                  <w:tcW w:w="4186" w:type="dxa"/>
                  <w:shd w:val="clear" w:color="auto" w:fill="FFFFFF" w:themeFill="background1"/>
                  <w:vAlign w:val="center"/>
                </w:tcPr>
                <w:p>
                  <w:pPr>
                    <w:jc w:val="center"/>
                    <w:rPr>
                      <w:rFonts w:hint="eastAsia" w:ascii="仿宋" w:hAnsi="仿宋" w:eastAsia="仿宋" w:cs="仿宋"/>
                      <w:b/>
                      <w:bCs/>
                      <w:color w:val="auto"/>
                    </w:rPr>
                  </w:pPr>
                  <w:r>
                    <w:rPr>
                      <w:rFonts w:hint="eastAsia" w:ascii="仿宋" w:hAnsi="仿宋" w:eastAsia="仿宋" w:cs="仿宋"/>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5" w:hRule="atLeast"/>
              </w:trPr>
              <w:tc>
                <w:tcPr>
                  <w:tcW w:w="2028" w:type="dxa"/>
                  <w:shd w:val="clear" w:color="auto" w:fill="FFFFFF" w:themeFill="background1"/>
                  <w:vAlign w:val="center"/>
                </w:tcPr>
                <w:p>
                  <w:pPr>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rPr>
                    <w:t>肿瘤组织全外显子检测</w:t>
                  </w:r>
                </w:p>
              </w:tc>
              <w:tc>
                <w:tcPr>
                  <w:tcW w:w="4186" w:type="dxa"/>
                  <w:shd w:val="clear" w:color="auto" w:fill="FFFFFF" w:themeFill="background1"/>
                  <w:vAlign w:val="center"/>
                </w:tcPr>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检测内容：包括2万＋全外显子区域，覆盖SNV、Indel、Fusion、CNV以及TMB、dMMR/MSI、HLA-I分型、风险及耐药基因等）等免疫标志物；</w:t>
                  </w:r>
                </w:p>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检测参数：</w:t>
                  </w:r>
                </w:p>
                <w:p>
                  <w:pPr>
                    <w:numPr>
                      <w:ilvl w:val="0"/>
                      <w:numId w:val="2"/>
                    </w:num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检测内容包含BRCA基因大片段缺失；</w:t>
                  </w:r>
                </w:p>
                <w:p>
                  <w:pPr>
                    <w:numPr>
                      <w:ilvl w:val="0"/>
                      <w:numId w:val="2"/>
                    </w:num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使用高通量测序平台进行检测，支持Illumina和MGI双平台测序；</w:t>
                  </w:r>
                </w:p>
                <w:p>
                  <w:pPr>
                    <w:numPr>
                      <w:ilvl w:val="0"/>
                      <w:numId w:val="2"/>
                    </w:num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有配套一体机设备，支持云端访问查询及下载数据；</w:t>
                  </w:r>
                </w:p>
                <w:p>
                  <w:pPr>
                    <w:numPr>
                      <w:ilvl w:val="0"/>
                      <w:numId w:val="2"/>
                    </w:num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自主专利妇科肿瘤知识库</w:t>
                  </w:r>
                  <w:r>
                    <w:rPr>
                      <w:rFonts w:hint="eastAsia" w:ascii="宋体" w:hAnsi="宋体" w:eastAsia="宋体" w:cs="宋体"/>
                      <w:color w:val="auto"/>
                      <w:szCs w:val="21"/>
                      <w:lang w:eastAsia="zh-CN"/>
                    </w:rPr>
                    <w:t>，</w:t>
                  </w:r>
                  <w:r>
                    <w:rPr>
                      <w:rFonts w:hint="eastAsia" w:ascii="宋体" w:hAnsi="宋体" w:eastAsia="宋体" w:cs="宋体"/>
                      <w:color w:val="auto"/>
                      <w:szCs w:val="21"/>
                    </w:rPr>
                    <w:t>采用贝叶斯评分技术，对基因变异分类进行量化，意义未明变异比例小于5%；</w:t>
                  </w:r>
                </w:p>
                <w:p>
                  <w:pPr>
                    <w:numPr>
                      <w:ilvl w:val="0"/>
                      <w:numId w:val="2"/>
                    </w:num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自动输出基因变异分类证据标签，避免ACMG规则运用的主观性；</w:t>
                  </w:r>
                </w:p>
                <w:p>
                  <w:pPr>
                    <w:numPr>
                      <w:ilvl w:val="0"/>
                      <w:numId w:val="2"/>
                    </w:num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制定功能相近证据标签制约规则，解决组合规则不明确导致无法得出结论问题；</w:t>
                  </w:r>
                </w:p>
                <w:p>
                  <w:pPr>
                    <w:numPr>
                      <w:ilvl w:val="0"/>
                      <w:numId w:val="2"/>
                    </w:numPr>
                    <w:spacing w:line="240" w:lineRule="auto"/>
                    <w:jc w:val="left"/>
                    <w:rPr>
                      <w:rFonts w:hint="eastAsia" w:ascii="仿宋" w:hAnsi="仿宋" w:eastAsia="仿宋" w:cs="仿宋"/>
                      <w:color w:val="auto"/>
                    </w:rPr>
                  </w:pPr>
                  <w:r>
                    <w:rPr>
                      <w:rFonts w:hint="eastAsia" w:ascii="宋体" w:hAnsi="宋体" w:eastAsia="宋体" w:cs="宋体"/>
                      <w:color w:val="auto"/>
                      <w:szCs w:val="21"/>
                    </w:rPr>
                    <w:t>测序数据Q30≥80%；肿瘤平均测序深度≥140X；对照平均测序≥70X；具有新型肿瘤标志物的检测能力，可助力科研转化；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5" w:hRule="atLeast"/>
              </w:trPr>
              <w:tc>
                <w:tcPr>
                  <w:tcW w:w="2028" w:type="dxa"/>
                  <w:shd w:val="clear" w:color="auto" w:fill="FFFFFF" w:themeFill="background1"/>
                  <w:vAlign w:val="center"/>
                </w:tcPr>
                <w:p>
                  <w:pPr>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rPr>
                    <w:t xml:space="preserve">HRD（同源重组修复缺陷评分） </w:t>
                  </w:r>
                </w:p>
              </w:tc>
              <w:tc>
                <w:tcPr>
                  <w:tcW w:w="4186" w:type="dxa"/>
                  <w:shd w:val="clear" w:color="auto" w:fill="FFFFFF" w:themeFill="background1"/>
                  <w:vAlign w:val="center"/>
                </w:tcPr>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检测内容：包括HRD （BRCA1/2+GIS评分）</w:t>
                  </w:r>
                </w:p>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检测参数：</w:t>
                  </w:r>
                </w:p>
                <w:p>
                  <w:pPr>
                    <w:numPr>
                      <w:ilvl w:val="0"/>
                      <w:numId w:val="3"/>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检测BRCA1/2基因的全部外显子区域及其邻近±20bp范围；</w:t>
                  </w:r>
                </w:p>
                <w:p>
                  <w:pPr>
                    <w:numPr>
                      <w:ilvl w:val="0"/>
                      <w:numId w:val="3"/>
                    </w:numPr>
                    <w:spacing w:line="240" w:lineRule="auto"/>
                    <w:rPr>
                      <w:rFonts w:hint="eastAsia" w:ascii="宋体" w:hAnsi="宋体" w:eastAsia="宋体" w:cs="宋体"/>
                      <w:color w:val="auto"/>
                      <w:szCs w:val="21"/>
                    </w:rPr>
                  </w:pPr>
                  <w:r>
                    <w:rPr>
                      <w:rFonts w:hint="eastAsia" w:ascii="宋体" w:hAnsi="宋体" w:eastAsia="宋体" w:cs="宋体"/>
                      <w:color w:val="auto"/>
                      <w:szCs w:val="21"/>
                    </w:rPr>
                    <w:t>选取大于单核苷酸多态性（SNP）位点 5 万个，用于基因组不稳定性评估，选取位点在整个基因组均匀分布，并保证在个体中获得足够的杂合位点，计算得到的 HRD 得分与全外显子+基因组骨架探针测序（ WES+Backbone ）计算的HRD 得分一致性不低于0.98；</w:t>
                  </w:r>
                </w:p>
                <w:p>
                  <w:pPr>
                    <w:numPr>
                      <w:ilvl w:val="0"/>
                      <w:numId w:val="3"/>
                    </w:numPr>
                    <w:spacing w:line="240" w:lineRule="auto"/>
                    <w:rPr>
                      <w:rFonts w:hint="eastAsia" w:ascii="宋体" w:hAnsi="宋体" w:eastAsia="宋体" w:cs="宋体"/>
                      <w:color w:val="auto"/>
                      <w:szCs w:val="21"/>
                    </w:rPr>
                  </w:pPr>
                  <w:r>
                    <w:rPr>
                      <w:rFonts w:hint="eastAsia" w:ascii="宋体" w:hAnsi="宋体" w:eastAsia="宋体" w:cs="宋体"/>
                      <w:color w:val="auto"/>
                      <w:szCs w:val="21"/>
                    </w:rPr>
                    <w:t>使用高通量测序平台进行检测，支持Illumina和MGI双平台测序；</w:t>
                  </w:r>
                </w:p>
                <w:p>
                  <w:pPr>
                    <w:numPr>
                      <w:ilvl w:val="0"/>
                      <w:numId w:val="3"/>
                    </w:numPr>
                    <w:spacing w:line="240" w:lineRule="auto"/>
                    <w:rPr>
                      <w:rFonts w:hint="eastAsia" w:ascii="宋体" w:hAnsi="宋体" w:eastAsia="宋体" w:cs="宋体"/>
                      <w:color w:val="auto"/>
                      <w:szCs w:val="21"/>
                    </w:rPr>
                  </w:pPr>
                  <w:r>
                    <w:rPr>
                      <w:rFonts w:hint="eastAsia" w:ascii="宋体" w:hAnsi="宋体" w:eastAsia="宋体" w:cs="宋体"/>
                      <w:color w:val="auto"/>
                      <w:szCs w:val="21"/>
                    </w:rPr>
                    <w:t>有配套一体机设备，支持云端访问查询及下载数据；</w:t>
                  </w:r>
                </w:p>
                <w:p>
                  <w:pPr>
                    <w:numPr>
                      <w:ilvl w:val="0"/>
                      <w:numId w:val="3"/>
                    </w:numPr>
                    <w:spacing w:line="240" w:lineRule="auto"/>
                    <w:rPr>
                      <w:rFonts w:hint="eastAsia" w:ascii="宋体" w:hAnsi="宋体" w:eastAsia="宋体" w:cs="宋体"/>
                      <w:color w:val="auto"/>
                      <w:szCs w:val="21"/>
                    </w:rPr>
                  </w:pPr>
                  <w:r>
                    <w:rPr>
                      <w:rFonts w:hint="eastAsia" w:ascii="宋体" w:hAnsi="宋体" w:eastAsia="宋体" w:cs="宋体"/>
                      <w:color w:val="auto"/>
                      <w:szCs w:val="21"/>
                    </w:rPr>
                    <w:t>自主专利妇科肿瘤知识库 采用贝叶斯评分技术，对基因变异分类进行量化，意义未明变异比例小于5%；</w:t>
                  </w:r>
                </w:p>
                <w:p>
                  <w:pPr>
                    <w:numPr>
                      <w:ilvl w:val="0"/>
                      <w:numId w:val="3"/>
                    </w:numPr>
                    <w:spacing w:line="240" w:lineRule="auto"/>
                    <w:rPr>
                      <w:rFonts w:hint="eastAsia" w:ascii="宋体" w:hAnsi="宋体" w:eastAsia="宋体" w:cs="宋体"/>
                      <w:color w:val="auto"/>
                      <w:szCs w:val="21"/>
                    </w:rPr>
                  </w:pPr>
                  <w:r>
                    <w:rPr>
                      <w:rFonts w:hint="eastAsia" w:ascii="宋体" w:hAnsi="宋体" w:eastAsia="宋体" w:cs="宋体"/>
                      <w:color w:val="auto"/>
                      <w:szCs w:val="21"/>
                    </w:rPr>
                    <w:t>自动输出基因变异分类证据标签，避免ACMG规则运用的主观性；</w:t>
                  </w:r>
                </w:p>
                <w:p>
                  <w:pPr>
                    <w:numPr>
                      <w:ilvl w:val="0"/>
                      <w:numId w:val="3"/>
                    </w:numPr>
                    <w:spacing w:line="240" w:lineRule="auto"/>
                    <w:rPr>
                      <w:rFonts w:hint="eastAsia" w:ascii="宋体" w:hAnsi="宋体" w:eastAsia="宋体" w:cs="宋体"/>
                      <w:color w:val="auto"/>
                      <w:szCs w:val="21"/>
                    </w:rPr>
                  </w:pPr>
                  <w:r>
                    <w:rPr>
                      <w:rFonts w:hint="eastAsia" w:ascii="宋体" w:hAnsi="宋体" w:eastAsia="宋体" w:cs="宋体"/>
                      <w:color w:val="auto"/>
                      <w:szCs w:val="21"/>
                    </w:rPr>
                    <w:t>制定功能相近证据标签制约规则，解决组合规则不明确导致无法得出结论问题；</w:t>
                  </w:r>
                </w:p>
                <w:p>
                  <w:pPr>
                    <w:numPr>
                      <w:ilvl w:val="0"/>
                      <w:numId w:val="3"/>
                    </w:numPr>
                    <w:spacing w:line="240" w:lineRule="auto"/>
                    <w:rPr>
                      <w:rFonts w:hint="eastAsia" w:ascii="宋体" w:hAnsi="宋体" w:eastAsia="宋体" w:cs="宋体"/>
                      <w:color w:val="auto"/>
                      <w:szCs w:val="21"/>
                    </w:rPr>
                  </w:pPr>
                  <w:r>
                    <w:rPr>
                      <w:rFonts w:hint="eastAsia" w:ascii="宋体" w:hAnsi="宋体" w:eastAsia="宋体" w:cs="宋体"/>
                      <w:color w:val="auto"/>
                      <w:szCs w:val="21"/>
                    </w:rPr>
                    <w:t>测序数据Q30≥80%；肿瘤平均测序深度≥500X；对照平均测序≥200X；肿瘤GIS区域平均测序深度≥150X；</w:t>
                  </w:r>
                </w:p>
                <w:p>
                  <w:pPr>
                    <w:numPr>
                      <w:ilvl w:val="0"/>
                      <w:numId w:val="3"/>
                    </w:numPr>
                    <w:spacing w:line="240" w:lineRule="auto"/>
                    <w:rPr>
                      <w:rFonts w:hint="eastAsia" w:ascii="仿宋" w:hAnsi="仿宋" w:eastAsia="仿宋" w:cs="仿宋"/>
                      <w:color w:val="auto"/>
                    </w:rPr>
                  </w:pPr>
                  <w:r>
                    <w:rPr>
                      <w:rFonts w:hint="eastAsia" w:ascii="宋体" w:hAnsi="宋体" w:eastAsia="宋体" w:cs="宋体"/>
                      <w:color w:val="auto"/>
                      <w:szCs w:val="21"/>
                    </w:rPr>
                    <w:t>HRD检测技术有针对</w:t>
                  </w:r>
                  <w:r>
                    <w:rPr>
                      <w:rFonts w:ascii="宋体" w:hAnsi="宋体" w:eastAsia="宋体" w:cs="宋体"/>
                      <w:color w:val="auto"/>
                      <w:szCs w:val="21"/>
                    </w:rPr>
                    <w:t>上皮性卵巢癌（EOC）人群同源重组缺陷状态研究</w:t>
                  </w:r>
                  <w:r>
                    <w:rPr>
                      <w:rFonts w:hint="eastAsia" w:ascii="宋体" w:hAnsi="宋体" w:eastAsia="宋体" w:cs="宋体"/>
                      <w:color w:val="auto"/>
                      <w:szCs w:val="21"/>
                    </w:rPr>
                    <w:t>证据，入组规模≥400例；HRD检测技术有针对其他癌种，例如转移性去势抵抗性前列腺癌的研究证据，入组规模≥150例；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25" w:hRule="atLeast"/>
              </w:trPr>
              <w:tc>
                <w:tcPr>
                  <w:tcW w:w="2028" w:type="dxa"/>
                  <w:shd w:val="clear" w:color="auto" w:fill="FFFFFF" w:themeFill="background1"/>
                  <w:vAlign w:val="center"/>
                </w:tcPr>
                <w:p>
                  <w:pPr>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rPr>
                    <w:t>HRD+肿瘤612基因检测</w:t>
                  </w:r>
                </w:p>
              </w:tc>
              <w:tc>
                <w:tcPr>
                  <w:tcW w:w="4186" w:type="dxa"/>
                  <w:shd w:val="clear" w:color="auto" w:fill="FFFFFF" w:themeFill="background1"/>
                  <w:vAlign w:val="center"/>
                </w:tcPr>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检测内容：HRD 评分 + 612基因（胚系+体系）；覆盖SNV、Indel、Fusion、CNV以及TMB、dMMR/MSI、HLA-I分型、风险及耐药基因等）等免疫标志物；</w:t>
                  </w:r>
                </w:p>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检测参数：</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检测基因数≥600；包含妇瘤和其他所有实体瘤已上市靶向药物相关基因、肿瘤信号通路相关基因、免疫相关生物标志物（包括TMB、MSI）、肿瘤遗传易感性基因、化疗药物相关位点，并含HRR基因检测；</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检测内容包含BRCA基因大片段缺失；</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选取大于单核苷酸多态性（SNP）位点 5 万个，用于基因组不稳定性评估，选取位点在整个基因组均匀分布，并保证在个体中获得足够的杂合位点，计算得到的 HRD 得分与全外显子+基因组骨架探针测序（ WES+Backbone ）计算的HRD 得分一致性不低于0.98；</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使用高通量测序平台进行检测，支持Illumina和MGI双平台测序；</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有配套一体机设备，支持云端访问查询及下载数据；</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自主专利妇科肿瘤知识库</w:t>
                  </w:r>
                  <w:r>
                    <w:rPr>
                      <w:rFonts w:hint="eastAsia" w:ascii="宋体" w:hAnsi="宋体" w:eastAsia="宋体" w:cs="宋体"/>
                      <w:color w:val="auto"/>
                      <w:szCs w:val="21"/>
                      <w:lang w:eastAsia="zh-CN"/>
                    </w:rPr>
                    <w:t>，</w:t>
                  </w:r>
                  <w:r>
                    <w:rPr>
                      <w:rFonts w:hint="eastAsia" w:ascii="宋体" w:hAnsi="宋体" w:eastAsia="宋体" w:cs="宋体"/>
                      <w:color w:val="auto"/>
                      <w:szCs w:val="21"/>
                    </w:rPr>
                    <w:t>采用贝叶斯评分技术，对基因变异分类进行量化，意义未明变异比例小于5%；</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自动输出基因变异分类证据标签，避免ACMG规则运用的主观性；</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制定功能相近证据标签制约规则，解决组合规则不明确导致无法得出结论问题；</w:t>
                  </w:r>
                </w:p>
                <w:p>
                  <w:pPr>
                    <w:numPr>
                      <w:ilvl w:val="0"/>
                      <w:numId w:val="4"/>
                    </w:numPr>
                    <w:spacing w:line="240" w:lineRule="auto"/>
                    <w:rPr>
                      <w:rFonts w:hint="eastAsia" w:ascii="宋体" w:hAnsi="宋体" w:eastAsia="宋体" w:cs="宋体"/>
                      <w:color w:val="auto"/>
                      <w:szCs w:val="21"/>
                    </w:rPr>
                  </w:pPr>
                  <w:r>
                    <w:rPr>
                      <w:rFonts w:hint="eastAsia" w:ascii="宋体" w:hAnsi="宋体" w:eastAsia="宋体" w:cs="宋体"/>
                      <w:color w:val="auto"/>
                      <w:szCs w:val="21"/>
                    </w:rPr>
                    <w:t>测序数据Q30≥80%；肿瘤平均测序深度≥500X；对照平均测序≥200X；肿瘤GIS区域平均测序深度≥150X；</w:t>
                  </w:r>
                </w:p>
                <w:p>
                  <w:pPr>
                    <w:numPr>
                      <w:ilvl w:val="0"/>
                      <w:numId w:val="4"/>
                    </w:numPr>
                    <w:spacing w:line="240" w:lineRule="auto"/>
                    <w:rPr>
                      <w:rFonts w:hint="eastAsia" w:ascii="仿宋" w:hAnsi="仿宋" w:eastAsia="仿宋" w:cs="仿宋"/>
                      <w:color w:val="auto"/>
                    </w:rPr>
                  </w:pPr>
                  <w:r>
                    <w:rPr>
                      <w:rFonts w:hint="eastAsia" w:ascii="宋体" w:hAnsi="宋体" w:eastAsia="宋体" w:cs="宋体"/>
                      <w:color w:val="auto"/>
                      <w:szCs w:val="21"/>
                    </w:rPr>
                    <w:t>HRD检测技术有针对</w:t>
                  </w:r>
                  <w:r>
                    <w:rPr>
                      <w:rFonts w:ascii="宋体" w:hAnsi="宋体" w:eastAsia="宋体" w:cs="宋体"/>
                      <w:color w:val="auto"/>
                      <w:szCs w:val="21"/>
                    </w:rPr>
                    <w:t>上皮性卵巢癌（EOC）人群同源重组缺陷状态研究</w:t>
                  </w:r>
                  <w:r>
                    <w:rPr>
                      <w:rFonts w:hint="eastAsia" w:ascii="宋体" w:hAnsi="宋体" w:eastAsia="宋体" w:cs="宋体"/>
                      <w:color w:val="auto"/>
                      <w:szCs w:val="21"/>
                    </w:rPr>
                    <w:t>证据，入组规模≥400例；HRD检测技术有针对其他癌种，例如转移性去势抵抗性前列腺癌的研究证据，入组规模≥150例；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25" w:hRule="atLeast"/>
              </w:trPr>
              <w:tc>
                <w:tcPr>
                  <w:tcW w:w="2028" w:type="dxa"/>
                  <w:shd w:val="clear" w:color="auto" w:fill="FFFFFF" w:themeFill="background1"/>
                  <w:vAlign w:val="center"/>
                </w:tcPr>
                <w:p>
                  <w:pPr>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rPr>
                    <w:t>卵巢癌个体化诊疗基因检测（HRD PRO）</w:t>
                  </w:r>
                </w:p>
              </w:tc>
              <w:tc>
                <w:tcPr>
                  <w:tcW w:w="4186" w:type="dxa"/>
                  <w:shd w:val="clear" w:color="auto" w:fill="FFFFFF" w:themeFill="background1"/>
                  <w:vAlign w:val="center"/>
                </w:tcPr>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检测内容：包含HRD 评分 + 36基因（胚系+体系）；覆盖SNV、Indel、Fusion、CNV以及风险及耐药基因等免疫标志物。包括：BRCA 相关的遗传性乳腺癌- 卵巢癌综合征相关基因，林奇综合征相关基因，遗传性妇科肿瘤相关基因，同源重组修复通路关键基因，明确的遗传综合征相关基因。同时进行基因组不稳定性打分（GIS），评估 HRD 状态。</w:t>
                  </w:r>
                </w:p>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检测参数：</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检测基因数≥30；包含HRR基因检测；</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检测内容包含BRCA基因大片段缺失；</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选取大于单核苷酸多态性（SNP）位点 5 万个，用于基因组不稳定性评估，选取位点在整个基因组均匀分布，并保证在个体中获得足够的杂合位点，计算得到的 HRD 得分与全外显子+基 因 组 骨 架 探 针 测 序（ WES+Backbone ） 计 算 的HRD 得分一致性不低于0.98；</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使用高通量测序平台进行检测，支持Illumina和MGI双平台测序，且高通量测序仪需通过CFDA 或 NMPA 认证；</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有配套一体机设备，支持云端访问查询及下载数据；</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自主专利妇科肿瘤知识库</w:t>
                  </w:r>
                  <w:r>
                    <w:rPr>
                      <w:rFonts w:hint="eastAsia" w:ascii="宋体" w:hAnsi="宋体" w:eastAsia="宋体" w:cs="宋体"/>
                      <w:color w:val="auto"/>
                      <w:szCs w:val="21"/>
                      <w:lang w:eastAsia="zh-CN"/>
                    </w:rPr>
                    <w:t>，</w:t>
                  </w:r>
                  <w:r>
                    <w:rPr>
                      <w:rFonts w:hint="eastAsia" w:ascii="宋体" w:hAnsi="宋体" w:eastAsia="宋体" w:cs="宋体"/>
                      <w:color w:val="auto"/>
                      <w:szCs w:val="21"/>
                    </w:rPr>
                    <w:t>采用贝叶斯评分技术，对基因变异分类进行量化，意义未明变异比例小于5%；</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自动输出基因变异分类证据标签，避免ACMG规则运用的主观性；</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制定功能相近证据标签制约规则，解决组合规则不明确导致无法得出结论问题；</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测序数据Q30≥80%；肿瘤平均测序深度≥500X；对照平均测序≥200X；肿瘤GIS区域平均测序深度≥150X；</w:t>
                  </w:r>
                </w:p>
                <w:p>
                  <w:pPr>
                    <w:numPr>
                      <w:ilvl w:val="0"/>
                      <w:numId w:val="5"/>
                    </w:numPr>
                    <w:spacing w:line="240" w:lineRule="auto"/>
                    <w:rPr>
                      <w:rFonts w:hint="eastAsia" w:ascii="宋体" w:hAnsi="宋体" w:eastAsia="宋体" w:cs="宋体"/>
                      <w:color w:val="auto"/>
                      <w:szCs w:val="21"/>
                    </w:rPr>
                  </w:pPr>
                  <w:r>
                    <w:rPr>
                      <w:rFonts w:hint="eastAsia" w:ascii="宋体" w:hAnsi="宋体" w:eastAsia="宋体" w:cs="宋体"/>
                      <w:color w:val="auto"/>
                      <w:szCs w:val="21"/>
                    </w:rPr>
                    <w:t>HRD检测技术有针对上皮性卵巢癌（EOC）人群同源重组缺陷状态研究证据，入组规模≥400例；</w:t>
                  </w:r>
                </w:p>
                <w:p>
                  <w:pPr>
                    <w:spacing w:line="240" w:lineRule="auto"/>
                    <w:ind w:firstLine="0" w:firstLineChars="0"/>
                    <w:jc w:val="center"/>
                    <w:rPr>
                      <w:rFonts w:hint="eastAsia" w:ascii="仿宋" w:hAnsi="仿宋" w:eastAsia="仿宋" w:cs="仿宋"/>
                      <w:color w:val="auto"/>
                    </w:rPr>
                  </w:pPr>
                  <w:r>
                    <w:rPr>
                      <w:rFonts w:hint="eastAsia" w:ascii="宋体" w:hAnsi="宋体" w:eastAsia="宋体" w:cs="宋体"/>
                      <w:color w:val="auto"/>
                      <w:szCs w:val="21"/>
                    </w:rPr>
                    <w:t>HRD检测技术有针对其他癌种，例如转移性去势抵抗性前列腺癌的研究证据，入组规模≥150例；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25" w:hRule="atLeast"/>
              </w:trPr>
              <w:tc>
                <w:tcPr>
                  <w:tcW w:w="2028" w:type="dxa"/>
                  <w:shd w:val="clear" w:color="auto" w:fill="FFFFFF" w:themeFill="background1"/>
                  <w:vAlign w:val="center"/>
                </w:tcPr>
                <w:p>
                  <w:pPr>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rPr>
                    <w:t>卵巢癌个体化诊疗基因检测（HRD MAX）</w:t>
                  </w:r>
                </w:p>
              </w:tc>
              <w:tc>
                <w:tcPr>
                  <w:tcW w:w="4186" w:type="dxa"/>
                  <w:shd w:val="clear" w:color="auto" w:fill="FFFFFF" w:themeFill="background1"/>
                  <w:vAlign w:val="center"/>
                </w:tcPr>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检测内容：HRD 评分 + 612基因（胚系+体系）；覆盖SNV、Indel、Fusion、CNV以及TMB、dMMR/MSI、HLA-I分型、风险及耐药基因等）等免疫标志物；</w:t>
                  </w:r>
                </w:p>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检测参数：</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检测基因数≥600；包含妇瘤和其他所有实体瘤已上市靶向药物相关基因、肿瘤信号通路相关基因、免疫相关生物标志物（包括TMB、MSI）、肿瘤遗传易感性基因、化疗药物相关位点，并含HRR基因检测；</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检测内容包含BRCA基因大片段缺失；</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选取大于单核苷酸多态性（SNP）位点 5 万个，用于基因组不稳定性评估，选取位点在整个基因组均匀分布，并保证在个体中获得足够的杂合位点，计算得到的 HRD 得分与全外显子+基 因 组 骨 架 探 针 测 序（ WES+Backbone ） 计 算 的HRD 得分一致性不低于0.98；</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使用高通量测序平台进行检测，支持Illumina和MGI双平台测序，且高通量测序仪需通过CFDA 或 NMPA 认证；</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有配套一体机设备，支持云端访问查询及下载数据；</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自主专利妇科肿瘤知识库</w:t>
                  </w:r>
                  <w:r>
                    <w:rPr>
                      <w:rFonts w:hint="eastAsia" w:ascii="宋体" w:hAnsi="宋体" w:eastAsia="宋体" w:cs="宋体"/>
                      <w:color w:val="auto"/>
                      <w:szCs w:val="21"/>
                      <w:lang w:eastAsia="zh-CN"/>
                    </w:rPr>
                    <w:t>，</w:t>
                  </w:r>
                  <w:r>
                    <w:rPr>
                      <w:rFonts w:hint="eastAsia" w:ascii="宋体" w:hAnsi="宋体" w:eastAsia="宋体" w:cs="宋体"/>
                      <w:color w:val="auto"/>
                      <w:szCs w:val="21"/>
                    </w:rPr>
                    <w:t>采用贝叶斯评分技术，对基因变异分类进行量化，意义未明变异比例小于5%；</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自动输出基因变异分类证据标签，避免ACMG规则运用的主观性；</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制定功能相近证据标签制约规则，解决组合规则不明确导致无法得出结论问题；</w:t>
                  </w:r>
                </w:p>
                <w:p>
                  <w:pPr>
                    <w:numPr>
                      <w:ilvl w:val="0"/>
                      <w:numId w:val="6"/>
                    </w:numPr>
                    <w:spacing w:line="240" w:lineRule="auto"/>
                    <w:rPr>
                      <w:rFonts w:hint="eastAsia" w:ascii="宋体" w:hAnsi="宋体" w:eastAsia="宋体" w:cs="宋体"/>
                      <w:color w:val="auto"/>
                      <w:szCs w:val="21"/>
                    </w:rPr>
                  </w:pPr>
                  <w:r>
                    <w:rPr>
                      <w:rFonts w:hint="eastAsia" w:ascii="宋体" w:hAnsi="宋体" w:eastAsia="宋体" w:cs="宋体"/>
                      <w:color w:val="auto"/>
                      <w:szCs w:val="21"/>
                    </w:rPr>
                    <w:t>测序数据Q30≥80%；肿瘤平均测序深度≥500X；对照平均测序≥200X；肿瘤GIS区域平均测序深度≥150X；</w:t>
                  </w:r>
                </w:p>
                <w:p>
                  <w:pPr>
                    <w:numPr>
                      <w:ilvl w:val="0"/>
                      <w:numId w:val="6"/>
                    </w:numPr>
                    <w:spacing w:line="240" w:lineRule="auto"/>
                    <w:rPr>
                      <w:rFonts w:hint="eastAsia" w:ascii="仿宋" w:hAnsi="仿宋" w:eastAsia="仿宋" w:cs="仿宋"/>
                      <w:color w:val="auto"/>
                    </w:rPr>
                  </w:pPr>
                  <w:r>
                    <w:rPr>
                      <w:rFonts w:hint="eastAsia" w:ascii="宋体" w:hAnsi="宋体" w:eastAsia="宋体" w:cs="宋体"/>
                      <w:color w:val="auto"/>
                      <w:szCs w:val="21"/>
                    </w:rPr>
                    <w:t>HRD检测技术有针对上皮性卵巢癌（EOC）人群同源重组缺陷状态研究证据，入组规模≥400例；HRD检测技术有针对其他癌种，例如转移性去势抵抗性前列腺癌的研究证据，入组规模≥150例；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25" w:hRule="atLeast"/>
              </w:trPr>
              <w:tc>
                <w:tcPr>
                  <w:tcW w:w="2028" w:type="dxa"/>
                  <w:shd w:val="clear" w:color="auto" w:fill="FFFFFF" w:themeFill="background1"/>
                  <w:vAlign w:val="center"/>
                </w:tcPr>
                <w:p>
                  <w:pPr>
                    <w:spacing w:line="240" w:lineRule="auto"/>
                    <w:ind w:firstLine="0" w:firstLineChars="0"/>
                    <w:jc w:val="center"/>
                    <w:rPr>
                      <w:rFonts w:hint="eastAsia" w:ascii="仿宋" w:hAnsi="仿宋" w:eastAsia="仿宋" w:cs="仿宋"/>
                      <w:color w:val="auto"/>
                    </w:rPr>
                  </w:pPr>
                  <w:r>
                    <w:rPr>
                      <w:rFonts w:hint="eastAsia" w:ascii="仿宋" w:hAnsi="仿宋" w:eastAsia="仿宋" w:cs="仿宋"/>
                      <w:color w:val="auto"/>
                    </w:rPr>
                    <w:t>肿瘤个性化诊疗基因检测</w:t>
                  </w:r>
                </w:p>
              </w:tc>
              <w:tc>
                <w:tcPr>
                  <w:tcW w:w="4186" w:type="dxa"/>
                  <w:shd w:val="clear" w:color="auto" w:fill="FFFFFF" w:themeFill="background1"/>
                  <w:vAlign w:val="center"/>
                </w:tcPr>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检测内容：包括612基因（胚系+体系），覆盖SNV、Indel、Fusion、CNV以及TMB、dMMR/MSI、HLA-I分型、风险及耐药基因等）等免疫标志物；</w:t>
                  </w:r>
                </w:p>
                <w:p>
                  <w:pPr>
                    <w:spacing w:line="240" w:lineRule="auto"/>
                    <w:rPr>
                      <w:rFonts w:hint="eastAsia" w:ascii="宋体" w:hAnsi="宋体" w:eastAsia="宋体" w:cs="宋体"/>
                      <w:color w:val="auto"/>
                      <w:szCs w:val="21"/>
                    </w:rPr>
                  </w:pPr>
                  <w:r>
                    <w:rPr>
                      <w:rFonts w:hint="eastAsia" w:ascii="宋体" w:hAnsi="宋体" w:eastAsia="宋体" w:cs="宋体"/>
                      <w:color w:val="auto"/>
                      <w:szCs w:val="21"/>
                    </w:rPr>
                    <w:t>检测参数：</w:t>
                  </w:r>
                </w:p>
                <w:p>
                  <w:pPr>
                    <w:numPr>
                      <w:ilvl w:val="0"/>
                      <w:numId w:val="7"/>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检测基因数≥600；包含妇瘤和其他所有实体瘤已上市靶向药物相关基因、肿瘤信号通路相关基因、免疫相关生物标志物（包括TMB、MSI）、肿瘤遗传易感性基因、化疗药物相关位点，并含HRR基因检测；</w:t>
                  </w:r>
                </w:p>
                <w:p>
                  <w:pPr>
                    <w:numPr>
                      <w:ilvl w:val="0"/>
                      <w:numId w:val="7"/>
                    </w:numPr>
                    <w:spacing w:line="240" w:lineRule="auto"/>
                    <w:rPr>
                      <w:rFonts w:hint="eastAsia" w:ascii="宋体" w:hAnsi="宋体" w:eastAsia="宋体" w:cs="宋体"/>
                      <w:color w:val="auto"/>
                      <w:szCs w:val="21"/>
                    </w:rPr>
                  </w:pPr>
                  <w:r>
                    <w:rPr>
                      <w:rFonts w:hint="eastAsia" w:ascii="宋体" w:hAnsi="宋体" w:eastAsia="宋体" w:cs="宋体"/>
                      <w:color w:val="auto"/>
                      <w:szCs w:val="21"/>
                    </w:rPr>
                    <w:t>检测内容包含BRCA基因大片段缺失；</w:t>
                  </w:r>
                </w:p>
                <w:p>
                  <w:pPr>
                    <w:numPr>
                      <w:ilvl w:val="0"/>
                      <w:numId w:val="7"/>
                    </w:numPr>
                    <w:spacing w:line="240" w:lineRule="auto"/>
                    <w:rPr>
                      <w:rFonts w:hint="eastAsia" w:ascii="宋体" w:hAnsi="宋体" w:eastAsia="宋体" w:cs="宋体"/>
                      <w:color w:val="auto"/>
                      <w:szCs w:val="21"/>
                    </w:rPr>
                  </w:pPr>
                  <w:r>
                    <w:rPr>
                      <w:rFonts w:hint="eastAsia" w:ascii="宋体" w:hAnsi="宋体" w:eastAsia="宋体" w:cs="宋体"/>
                      <w:color w:val="auto"/>
                      <w:szCs w:val="21"/>
                    </w:rPr>
                    <w:t>使用高通量测序平台进行检测，支持Illumina和MGI双平台测序，且高通量测序仪需通过CFDA 或 NMPA 认证；</w:t>
                  </w:r>
                </w:p>
                <w:p>
                  <w:pPr>
                    <w:numPr>
                      <w:ilvl w:val="0"/>
                      <w:numId w:val="7"/>
                    </w:numPr>
                    <w:spacing w:line="240" w:lineRule="auto"/>
                    <w:rPr>
                      <w:rFonts w:hint="eastAsia" w:ascii="宋体" w:hAnsi="宋体" w:eastAsia="宋体" w:cs="宋体"/>
                      <w:color w:val="auto"/>
                      <w:szCs w:val="21"/>
                    </w:rPr>
                  </w:pPr>
                  <w:r>
                    <w:rPr>
                      <w:rFonts w:hint="eastAsia" w:ascii="宋体" w:hAnsi="宋体" w:eastAsia="宋体" w:cs="宋体"/>
                      <w:color w:val="auto"/>
                      <w:szCs w:val="21"/>
                    </w:rPr>
                    <w:t>有配套一体机设备，支持云端访问查询及下载数据；</w:t>
                  </w:r>
                </w:p>
                <w:p>
                  <w:pPr>
                    <w:numPr>
                      <w:ilvl w:val="0"/>
                      <w:numId w:val="7"/>
                    </w:numPr>
                    <w:spacing w:line="240" w:lineRule="auto"/>
                    <w:rPr>
                      <w:rFonts w:hint="eastAsia" w:ascii="宋体" w:hAnsi="宋体" w:eastAsia="宋体" w:cs="宋体"/>
                      <w:color w:val="auto"/>
                      <w:szCs w:val="21"/>
                    </w:rPr>
                  </w:pPr>
                  <w:r>
                    <w:rPr>
                      <w:rFonts w:hint="eastAsia" w:ascii="宋体" w:hAnsi="宋体" w:eastAsia="宋体" w:cs="宋体"/>
                      <w:color w:val="auto"/>
                      <w:szCs w:val="21"/>
                    </w:rPr>
                    <w:t>自主专利妇科肿瘤知识库</w:t>
                  </w:r>
                  <w:r>
                    <w:rPr>
                      <w:rFonts w:hint="eastAsia" w:ascii="宋体" w:hAnsi="宋体" w:eastAsia="宋体" w:cs="宋体"/>
                      <w:color w:val="auto"/>
                      <w:szCs w:val="21"/>
                      <w:lang w:eastAsia="zh-CN"/>
                    </w:rPr>
                    <w:t>，</w:t>
                  </w:r>
                  <w:r>
                    <w:rPr>
                      <w:rFonts w:hint="eastAsia" w:ascii="宋体" w:hAnsi="宋体" w:eastAsia="宋体" w:cs="宋体"/>
                      <w:color w:val="auto"/>
                      <w:szCs w:val="21"/>
                    </w:rPr>
                    <w:t>采用贝叶斯评分技术，对基因变异分类进行量化，意义未明变异比例小于5%；</w:t>
                  </w:r>
                </w:p>
                <w:p>
                  <w:pPr>
                    <w:numPr>
                      <w:ilvl w:val="0"/>
                      <w:numId w:val="7"/>
                    </w:numPr>
                    <w:spacing w:line="240" w:lineRule="auto"/>
                    <w:rPr>
                      <w:rFonts w:hint="eastAsia" w:ascii="宋体" w:hAnsi="宋体" w:eastAsia="宋体" w:cs="宋体"/>
                      <w:color w:val="auto"/>
                      <w:szCs w:val="21"/>
                    </w:rPr>
                  </w:pPr>
                  <w:r>
                    <w:rPr>
                      <w:rFonts w:hint="eastAsia" w:ascii="宋体" w:hAnsi="宋体" w:eastAsia="宋体" w:cs="宋体"/>
                      <w:color w:val="auto"/>
                      <w:szCs w:val="21"/>
                    </w:rPr>
                    <w:t>自动输出基因变异分类证据标签，避免ACMG规则运用的主观性；</w:t>
                  </w:r>
                </w:p>
                <w:p>
                  <w:pPr>
                    <w:numPr>
                      <w:ilvl w:val="0"/>
                      <w:numId w:val="7"/>
                    </w:numPr>
                    <w:spacing w:line="240" w:lineRule="auto"/>
                    <w:rPr>
                      <w:rFonts w:hint="eastAsia" w:ascii="宋体" w:hAnsi="宋体" w:eastAsia="宋体" w:cs="宋体"/>
                      <w:color w:val="auto"/>
                      <w:szCs w:val="21"/>
                    </w:rPr>
                  </w:pPr>
                  <w:r>
                    <w:rPr>
                      <w:rFonts w:hint="eastAsia" w:ascii="宋体" w:hAnsi="宋体" w:eastAsia="宋体" w:cs="宋体"/>
                      <w:color w:val="auto"/>
                      <w:szCs w:val="21"/>
                    </w:rPr>
                    <w:t>制定功能相近证据标签制约规则，解决组合规则不明确导致无法得出结论问题；</w:t>
                  </w:r>
                </w:p>
                <w:p>
                  <w:pPr>
                    <w:spacing w:line="240" w:lineRule="auto"/>
                    <w:ind w:firstLine="0" w:firstLineChars="0"/>
                    <w:jc w:val="center"/>
                    <w:rPr>
                      <w:rFonts w:hint="eastAsia" w:ascii="仿宋" w:hAnsi="仿宋" w:eastAsia="仿宋" w:cs="仿宋"/>
                      <w:color w:val="auto"/>
                    </w:rPr>
                  </w:pPr>
                  <w:r>
                    <w:rPr>
                      <w:rFonts w:hint="eastAsia" w:ascii="宋体" w:hAnsi="宋体" w:eastAsia="宋体" w:cs="宋体"/>
                      <w:color w:val="auto"/>
                      <w:szCs w:val="21"/>
                    </w:rPr>
                    <w:t>测序数据Q30≥80%；肿瘤平均测序深度≥500X；对照平均测序≥200X；</w:t>
                  </w:r>
                </w:p>
              </w:tc>
            </w:tr>
          </w:tbl>
          <w:p>
            <w:pPr>
              <w:pStyle w:val="9"/>
              <w:rPr>
                <w:rFonts w:hint="eastAsia"/>
                <w:color w:val="auto"/>
              </w:rPr>
            </w:pPr>
          </w:p>
          <w:p>
            <w:pPr>
              <w:pStyle w:val="9"/>
              <w:rPr>
                <w:rFonts w:hint="eastAsia"/>
                <w:color w:val="auto"/>
              </w:rPr>
            </w:pPr>
          </w:p>
          <w:p>
            <w:pPr>
              <w:pStyle w:val="9"/>
              <w:rPr>
                <w:b/>
                <w:bCs w:val="0"/>
                <w:color w:val="auto"/>
                <w:lang w:bidi="ar"/>
              </w:rPr>
            </w:pPr>
            <w:r>
              <w:rPr>
                <w:rFonts w:hint="eastAsia"/>
                <w:b/>
                <w:bCs w:val="0"/>
                <w:color w:val="auto"/>
                <w:lang w:bidi="ar"/>
              </w:rPr>
              <w:t>第三部分：质量服务要求</w:t>
            </w:r>
          </w:p>
          <w:p>
            <w:pPr>
              <w:pStyle w:val="9"/>
              <w:rPr>
                <w:color w:val="auto"/>
                <w:lang w:bidi="ar"/>
              </w:rPr>
            </w:pPr>
            <w:r>
              <w:rPr>
                <w:rFonts w:hint="eastAsia"/>
                <w:color w:val="auto"/>
                <w:lang w:bidi="ar"/>
              </w:rPr>
              <w:t>1.供应商实验室检测人员具备相应资质、检测项目有完善的室内质控方案及记录，每年参与国家卫生健康委临床检验中心的室间质评且95%的项目能通过室间质评，对于国家卫生健康委临床检验中心未开展的室间质评项目，进行实验室间比对，并保留比对记录及比对结论。</w:t>
            </w:r>
          </w:p>
          <w:p>
            <w:pPr>
              <w:pStyle w:val="9"/>
              <w:rPr>
                <w:color w:val="auto"/>
                <w:lang w:bidi="ar"/>
              </w:rPr>
            </w:pPr>
          </w:p>
          <w:p>
            <w:pPr>
              <w:pStyle w:val="9"/>
              <w:rPr>
                <w:color w:val="auto"/>
                <w:lang w:bidi="ar"/>
              </w:rPr>
            </w:pPr>
            <w:r>
              <w:rPr>
                <w:rFonts w:hint="eastAsia"/>
                <w:color w:val="auto"/>
                <w:lang w:bidi="ar"/>
              </w:rPr>
              <w:t>*2.供应商实验室检测设备定期校准并验证、关键试剂耗材有相关验证及完整使用记录等。</w:t>
            </w:r>
          </w:p>
          <w:p>
            <w:pPr>
              <w:pStyle w:val="10"/>
              <w:rPr>
                <w:rFonts w:hint="eastAsia" w:ascii="宋体" w:hAnsi="宋体" w:eastAsia="宋体" w:cs="宋体"/>
                <w:bCs/>
                <w:color w:val="auto"/>
                <w:kern w:val="0"/>
                <w:szCs w:val="21"/>
                <w:lang w:bidi="ar"/>
              </w:rPr>
            </w:pPr>
          </w:p>
          <w:p>
            <w:pPr>
              <w:widowControl/>
              <w:wordWrap w:val="0"/>
              <w:spacing w:line="340" w:lineRule="exact"/>
              <w:ind w:right="76"/>
              <w:rPr>
                <w:color w:val="auto"/>
                <w:lang w:bidi="ar"/>
              </w:rPr>
            </w:pPr>
            <w:r>
              <w:rPr>
                <w:rFonts w:hint="eastAsia" w:ascii="宋体" w:hAnsi="宋体" w:eastAsia="宋体" w:cs="宋体"/>
                <w:color w:val="auto"/>
                <w:szCs w:val="21"/>
              </w:rPr>
              <w:t>3.供应商</w:t>
            </w:r>
            <w:r>
              <w:rPr>
                <w:rFonts w:hint="eastAsia"/>
                <w:color w:val="auto"/>
                <w:lang w:bidi="ar"/>
              </w:rPr>
              <w:t>中标后需提供明确、详细、可行、合理的质控方案，在合同期内，若项目的检测方法及套餐有更改，需在临床认可并同意的情况下进行更改。</w:t>
            </w:r>
          </w:p>
          <w:p>
            <w:pPr>
              <w:pStyle w:val="9"/>
              <w:rPr>
                <w:color w:val="auto"/>
                <w:lang w:bidi="ar"/>
              </w:rPr>
            </w:pPr>
          </w:p>
          <w:p>
            <w:pPr>
              <w:pStyle w:val="9"/>
              <w:rPr>
                <w:color w:val="auto"/>
                <w:lang w:bidi="ar"/>
              </w:rPr>
            </w:pPr>
            <w:r>
              <w:rPr>
                <w:rFonts w:hint="eastAsia"/>
                <w:color w:val="auto"/>
                <w:lang w:bidi="ar"/>
              </w:rPr>
              <w:t>4.供应商对检测项目需保存原始数据记录，能全流程真实、可靠、准确的反应项目的检测及质量控制。</w:t>
            </w:r>
          </w:p>
          <w:p>
            <w:pPr>
              <w:pStyle w:val="9"/>
              <w:rPr>
                <w:color w:val="auto"/>
                <w:lang w:bidi="ar"/>
              </w:rPr>
            </w:pPr>
          </w:p>
          <w:p>
            <w:pPr>
              <w:pStyle w:val="9"/>
              <w:rPr>
                <w:color w:val="auto"/>
                <w:lang w:bidi="ar"/>
              </w:rPr>
            </w:pPr>
            <w:r>
              <w:rPr>
                <w:rFonts w:hint="eastAsia"/>
                <w:color w:val="auto"/>
                <w:lang w:bidi="ar"/>
              </w:rPr>
              <w:t>5.供应商需对具有危急值的项目，确保危急值信息的准确性，并能及时通知临床，信息传递各环节无缝衔接且可追溯。</w:t>
            </w:r>
          </w:p>
          <w:p>
            <w:pPr>
              <w:pStyle w:val="9"/>
              <w:rPr>
                <w:color w:val="auto"/>
                <w:lang w:bidi="ar"/>
              </w:rPr>
            </w:pPr>
          </w:p>
          <w:p>
            <w:pPr>
              <w:pStyle w:val="9"/>
              <w:rPr>
                <w:rFonts w:hint="default" w:eastAsiaTheme="minorEastAsia"/>
                <w:color w:val="auto"/>
                <w:kern w:val="0"/>
                <w:lang w:val="en-US" w:eastAsia="zh-CN" w:bidi="ar"/>
              </w:rPr>
            </w:pPr>
            <w:r>
              <w:rPr>
                <w:rFonts w:hint="eastAsia"/>
                <w:color w:val="auto"/>
              </w:rPr>
              <w:t>6.供应商能在本地提供检测生物样本及数据信息的保存服务，样本数据回溯性反馈服务，在结果有疑义的情况下可及时进行验证及溯源</w:t>
            </w:r>
            <w:r>
              <w:rPr>
                <w:rFonts w:hint="eastAsia"/>
                <w:color w:val="auto"/>
                <w:lang w:eastAsia="zh-CN"/>
              </w:rPr>
              <w:t>。</w:t>
            </w:r>
            <w:r>
              <w:rPr>
                <w:rFonts w:hint="eastAsia"/>
                <w:color w:val="auto"/>
                <w:lang w:val="en-US" w:eastAsia="zh-CN"/>
              </w:rPr>
              <w:t>同时为临床保存检测和分析数据，在保障数据安全和合规的情况下，为临床样本的溯源，回顾性分析及研究性队列建立提供共享数据库来源和依据。</w:t>
            </w:r>
          </w:p>
          <w:p>
            <w:pPr>
              <w:pStyle w:val="9"/>
              <w:rPr>
                <w:color w:val="auto"/>
                <w:lang w:bidi="ar"/>
              </w:rPr>
            </w:pPr>
          </w:p>
          <w:p>
            <w:pPr>
              <w:pStyle w:val="9"/>
              <w:rPr>
                <w:b/>
                <w:bCs w:val="0"/>
                <w:color w:val="auto"/>
                <w:lang w:bidi="ar"/>
              </w:rPr>
            </w:pPr>
            <w:r>
              <w:rPr>
                <w:rFonts w:hint="eastAsia"/>
                <w:b/>
                <w:bCs w:val="0"/>
                <w:color w:val="auto"/>
                <w:lang w:bidi="ar"/>
              </w:rPr>
              <w:t>第四部分：履行能力</w:t>
            </w:r>
          </w:p>
          <w:p>
            <w:pPr>
              <w:pStyle w:val="9"/>
              <w:rPr>
                <w:rFonts w:hint="eastAsia" w:ascii="宋体" w:hAnsi="宋体" w:eastAsia="宋体" w:cs="宋体"/>
                <w:color w:val="auto"/>
                <w:spacing w:val="0"/>
                <w:szCs w:val="21"/>
              </w:rPr>
            </w:pPr>
            <w:r>
              <w:rPr>
                <w:rFonts w:hint="eastAsia" w:ascii="宋体" w:hAnsi="宋体" w:eastAsia="宋体" w:cs="宋体"/>
                <w:color w:val="auto"/>
                <w:spacing w:val="0"/>
                <w:szCs w:val="21"/>
              </w:rPr>
              <w:t>1.供应商需有固定人员在医院收集标本；并能在30分钟以内到达临床科室进行收样，1小时内有专门的物流人员将样本进行转运。</w:t>
            </w:r>
          </w:p>
          <w:p>
            <w:pPr>
              <w:pStyle w:val="9"/>
              <w:ind w:left="360"/>
              <w:rPr>
                <w:rFonts w:hint="eastAsia" w:ascii="宋体" w:hAnsi="宋体" w:eastAsia="宋体" w:cs="宋体"/>
                <w:color w:val="auto"/>
                <w:spacing w:val="0"/>
                <w:szCs w:val="21"/>
              </w:rPr>
            </w:pPr>
          </w:p>
          <w:p>
            <w:pPr>
              <w:pStyle w:val="9"/>
              <w:rPr>
                <w:rFonts w:hint="eastAsia" w:ascii="宋体" w:hAnsi="宋体" w:eastAsia="宋体" w:cs="宋体"/>
                <w:color w:val="auto"/>
                <w:spacing w:val="0"/>
                <w:szCs w:val="21"/>
              </w:rPr>
            </w:pPr>
            <w:r>
              <w:rPr>
                <w:rFonts w:hint="eastAsia" w:ascii="宋体" w:hAnsi="宋体" w:eastAsia="宋体" w:cs="宋体"/>
                <w:color w:val="auto"/>
                <w:spacing w:val="0"/>
                <w:szCs w:val="21"/>
              </w:rPr>
              <w:t>*2.</w:t>
            </w:r>
            <w:r>
              <w:rPr>
                <w:rFonts w:hint="eastAsia" w:ascii="宋体" w:hAnsi="宋体" w:eastAsia="宋体" w:cs="宋体"/>
                <w:color w:val="auto"/>
                <w:spacing w:val="0"/>
                <w:szCs w:val="21"/>
                <w:lang w:val="en-US" w:eastAsia="zh-CN"/>
              </w:rPr>
              <w:t>供应商</w:t>
            </w:r>
            <w:r>
              <w:rPr>
                <w:rFonts w:hint="eastAsia" w:ascii="宋体" w:hAnsi="宋体" w:eastAsia="宋体" w:cs="宋体"/>
                <w:color w:val="auto"/>
                <w:spacing w:val="0"/>
                <w:szCs w:val="21"/>
              </w:rPr>
              <w:t>有标本和报告管理系统</w:t>
            </w:r>
            <w:r>
              <w:rPr>
                <w:rFonts w:hint="eastAsia" w:ascii="宋体" w:hAnsi="宋体" w:eastAsia="宋体" w:cs="宋体"/>
                <w:color w:val="auto"/>
                <w:spacing w:val="0"/>
                <w:szCs w:val="21"/>
                <w:lang w:eastAsia="zh-CN"/>
              </w:rPr>
              <w:t>，</w:t>
            </w:r>
            <w:r>
              <w:rPr>
                <w:rFonts w:hint="eastAsia" w:ascii="宋体" w:hAnsi="宋体" w:eastAsia="宋体" w:cs="宋体"/>
                <w:color w:val="auto"/>
                <w:spacing w:val="0"/>
                <w:szCs w:val="21"/>
              </w:rPr>
              <w:t>标本管理系统可实现标本的条码化管理，可</w:t>
            </w:r>
            <w:r>
              <w:rPr>
                <w:rFonts w:hint="eastAsia" w:ascii="宋体" w:hAnsi="宋体" w:eastAsia="宋体" w:cs="宋体"/>
                <w:color w:val="auto"/>
                <w:spacing w:val="0"/>
                <w:szCs w:val="21"/>
                <w:lang w:val="en-US" w:eastAsia="zh-CN"/>
              </w:rPr>
              <w:t>自行</w:t>
            </w:r>
            <w:r>
              <w:rPr>
                <w:rFonts w:hint="eastAsia" w:ascii="宋体" w:hAnsi="宋体" w:eastAsia="宋体" w:cs="宋体"/>
                <w:color w:val="auto"/>
                <w:spacing w:val="0"/>
                <w:szCs w:val="21"/>
              </w:rPr>
              <w:t>独立部署在医院局域网环境中</w:t>
            </w:r>
            <w:r>
              <w:rPr>
                <w:rFonts w:hint="eastAsia" w:ascii="宋体" w:hAnsi="宋体" w:eastAsia="宋体" w:cs="宋体"/>
                <w:color w:val="auto"/>
                <w:spacing w:val="0"/>
                <w:szCs w:val="21"/>
                <w:lang w:eastAsia="zh-CN"/>
              </w:rPr>
              <w:t>；</w:t>
            </w:r>
            <w:r>
              <w:rPr>
                <w:rFonts w:hint="eastAsia" w:ascii="宋体" w:hAnsi="宋体" w:eastAsia="宋体" w:cs="宋体"/>
                <w:color w:val="auto"/>
                <w:spacing w:val="0"/>
                <w:szCs w:val="21"/>
              </w:rPr>
              <w:t>报告管理系统医院端可随时查看检测进度，患者端可在线查询并下载电子报告，</w:t>
            </w:r>
            <w:r>
              <w:rPr>
                <w:rFonts w:hint="eastAsia" w:ascii="宋体" w:hAnsi="宋体" w:eastAsia="宋体" w:cs="宋体"/>
                <w:color w:val="auto"/>
                <w:spacing w:val="0"/>
                <w:szCs w:val="21"/>
                <w:lang w:val="en-US" w:eastAsia="zh-CN"/>
              </w:rPr>
              <w:t>检测项目可以</w:t>
            </w:r>
            <w:r>
              <w:rPr>
                <w:rFonts w:hint="eastAsia" w:ascii="宋体" w:hAnsi="宋体" w:eastAsia="宋体" w:cs="宋体"/>
                <w:color w:val="auto"/>
                <w:spacing w:val="0"/>
                <w:szCs w:val="21"/>
              </w:rPr>
              <w:t>在医院内网部署</w:t>
            </w:r>
            <w:r>
              <w:rPr>
                <w:rFonts w:hint="eastAsia" w:ascii="宋体" w:hAnsi="宋体" w:eastAsia="宋体" w:cs="宋体"/>
                <w:color w:val="auto"/>
                <w:spacing w:val="0"/>
                <w:szCs w:val="21"/>
                <w:lang w:val="en-US" w:eastAsia="zh-CN"/>
              </w:rPr>
              <w:t>下单和</w:t>
            </w:r>
            <w:r>
              <w:rPr>
                <w:rFonts w:hint="eastAsia" w:ascii="宋体" w:hAnsi="宋体" w:eastAsia="宋体" w:cs="宋体"/>
                <w:color w:val="auto"/>
                <w:spacing w:val="0"/>
                <w:szCs w:val="21"/>
              </w:rPr>
              <w:t>报告查询打印系统，并安排专人定期导入检验报告。供应商的检测报告交付过程</w:t>
            </w:r>
            <w:r>
              <w:rPr>
                <w:rFonts w:hint="eastAsia" w:ascii="宋体" w:hAnsi="宋体" w:eastAsia="宋体" w:cs="宋体"/>
                <w:color w:val="auto"/>
                <w:spacing w:val="0"/>
                <w:szCs w:val="21"/>
                <w:lang w:val="en-US" w:eastAsia="zh-CN"/>
              </w:rPr>
              <w:t>可</w:t>
            </w:r>
            <w:r>
              <w:rPr>
                <w:rFonts w:hint="eastAsia" w:ascii="宋体" w:hAnsi="宋体" w:eastAsia="宋体" w:cs="宋体"/>
                <w:color w:val="auto"/>
                <w:spacing w:val="0"/>
                <w:szCs w:val="21"/>
              </w:rPr>
              <w:t>通过多种方式交接，根据客户需求灵活处理；若交付过程出现问题，供应商能立即响应并在30分钟内到达现场进行协调处理。</w:t>
            </w:r>
          </w:p>
          <w:p>
            <w:pPr>
              <w:pStyle w:val="9"/>
              <w:rPr>
                <w:rFonts w:hint="eastAsia" w:ascii="宋体" w:hAnsi="宋体" w:eastAsia="宋体" w:cs="宋体"/>
                <w:color w:val="auto"/>
                <w:spacing w:val="0"/>
                <w:szCs w:val="21"/>
              </w:rPr>
            </w:pPr>
          </w:p>
          <w:p>
            <w:pPr>
              <w:pStyle w:val="9"/>
              <w:rPr>
                <w:rFonts w:hint="eastAsia" w:ascii="宋体" w:hAnsi="宋体" w:eastAsia="宋体" w:cs="宋体"/>
                <w:color w:val="auto"/>
                <w:spacing w:val="0"/>
                <w:szCs w:val="21"/>
              </w:rPr>
            </w:pPr>
            <w:r>
              <w:rPr>
                <w:rFonts w:hint="eastAsia" w:ascii="宋体" w:hAnsi="宋体" w:eastAsia="宋体" w:cs="宋体"/>
                <w:color w:val="auto"/>
                <w:spacing w:val="0"/>
                <w:szCs w:val="21"/>
              </w:rPr>
              <w:t>3.供应商需有专职临床服务人员在医院进行临床需求收集、检测报告技术问题及报告解读等服务，临床有需求时能立即响应并在30分钟内到达现场进行解答。</w:t>
            </w:r>
          </w:p>
          <w:p>
            <w:pPr>
              <w:pStyle w:val="9"/>
              <w:rPr>
                <w:color w:val="auto"/>
                <w:lang w:bidi="ar"/>
              </w:rPr>
            </w:pPr>
          </w:p>
          <w:p>
            <w:pPr>
              <w:pStyle w:val="9"/>
              <w:rPr>
                <w:b/>
                <w:bCs w:val="0"/>
                <w:color w:val="auto"/>
                <w:lang w:bidi="ar"/>
              </w:rPr>
            </w:pPr>
            <w:bookmarkStart w:id="2" w:name="OLE_LINK2"/>
            <w:r>
              <w:rPr>
                <w:rFonts w:hint="eastAsia"/>
                <w:b/>
                <w:bCs w:val="0"/>
                <w:color w:val="auto"/>
                <w:lang w:bidi="ar"/>
              </w:rPr>
              <w:t>第五部分：实质性需求</w:t>
            </w:r>
          </w:p>
          <w:p>
            <w:pPr>
              <w:pStyle w:val="9"/>
              <w:tabs>
                <w:tab w:val="left" w:pos="312"/>
              </w:tabs>
              <w:rPr>
                <w:color w:val="auto"/>
              </w:rPr>
            </w:pPr>
            <w:r>
              <w:rPr>
                <w:rFonts w:hint="eastAsia"/>
                <w:color w:val="auto"/>
              </w:rPr>
              <w:t>1.供应商涉</w:t>
            </w:r>
            <w:bookmarkEnd w:id="2"/>
            <w:r>
              <w:rPr>
                <w:rFonts w:hint="eastAsia"/>
                <w:color w:val="auto"/>
              </w:rPr>
              <w:t>及医院的生物样本、检测数据信息及临床报告等均需严格按照我国人类遗传学资源管理办法等相关要求执行。合作过程中，双方均应对合同履行期间的合作方式、技术信息、财务信息及患者信息进行严格保密。</w:t>
            </w:r>
          </w:p>
          <w:p>
            <w:pPr>
              <w:pStyle w:val="9"/>
              <w:rPr>
                <w:color w:val="auto"/>
              </w:rPr>
            </w:pPr>
          </w:p>
          <w:p>
            <w:pPr>
              <w:pStyle w:val="9"/>
              <w:rPr>
                <w:rFonts w:hAnsi="Times New Roman" w:cs="Times New Roman"/>
                <w:color w:val="auto"/>
              </w:rPr>
            </w:pPr>
            <w:r>
              <w:rPr>
                <w:rFonts w:hint="eastAsia" w:hAnsi="Times New Roman" w:cs="Times New Roman"/>
                <w:color w:val="auto"/>
              </w:rPr>
              <w:t>2.供应商检测项目的牌价有定价依据，并接受市场监督管理局监管。</w:t>
            </w:r>
            <w:r>
              <w:rPr>
                <w:rFonts w:hAnsi="Times New Roman" w:cs="Times New Roman"/>
                <w:color w:val="auto"/>
              </w:rPr>
              <w:t xml:space="preserve"> </w:t>
            </w:r>
          </w:p>
          <w:p>
            <w:pPr>
              <w:pStyle w:val="9"/>
              <w:rPr>
                <w:color w:val="auto"/>
                <w:lang w:bidi="ar"/>
              </w:rPr>
            </w:pPr>
          </w:p>
          <w:p>
            <w:pPr>
              <w:pStyle w:val="9"/>
              <w:rPr>
                <w:color w:val="auto"/>
                <w:lang w:bidi="ar"/>
              </w:rPr>
            </w:pPr>
            <w:r>
              <w:rPr>
                <w:rFonts w:hint="eastAsia"/>
                <w:color w:val="auto"/>
                <w:lang w:bidi="ar"/>
              </w:rPr>
              <w:t>3.供应商需提供相关《检测标本知情同意书》、《检验申请、原始样品采集和处置程序》、《结果报告程序》等相关资料，以便工作开展。</w:t>
            </w:r>
          </w:p>
          <w:p>
            <w:pPr>
              <w:pStyle w:val="9"/>
              <w:rPr>
                <w:color w:val="auto"/>
                <w:lang w:bidi="ar"/>
              </w:rPr>
            </w:pPr>
          </w:p>
          <w:p>
            <w:pPr>
              <w:pStyle w:val="9"/>
              <w:rPr>
                <w:color w:val="auto"/>
                <w:lang w:bidi="ar"/>
              </w:rPr>
            </w:pPr>
            <w:r>
              <w:rPr>
                <w:rFonts w:hint="eastAsia"/>
                <w:color w:val="auto"/>
                <w:lang w:bidi="ar"/>
              </w:rPr>
              <w:t>4.</w:t>
            </w:r>
            <w:r>
              <w:rPr>
                <w:rFonts w:hint="eastAsia"/>
                <w:color w:val="auto"/>
              </w:rPr>
              <w:t>供应商实验室</w:t>
            </w:r>
            <w:r>
              <w:rPr>
                <w:rFonts w:hint="eastAsia"/>
                <w:color w:val="auto"/>
                <w:lang w:bidi="ar"/>
              </w:rPr>
              <w:t>应具备国家行业内认定的信息系统安全等级保护，确保检测数据的安全性。</w:t>
            </w:r>
          </w:p>
          <w:p>
            <w:pPr>
              <w:pStyle w:val="9"/>
              <w:rPr>
                <w:color w:val="auto"/>
                <w:lang w:bidi="ar"/>
              </w:rPr>
            </w:pPr>
          </w:p>
          <w:p>
            <w:pPr>
              <w:pStyle w:val="9"/>
              <w:tabs>
                <w:tab w:val="left" w:pos="312"/>
              </w:tabs>
              <w:rPr>
                <w:color w:val="auto"/>
                <w:lang w:bidi="ar"/>
              </w:rPr>
            </w:pPr>
            <w:r>
              <w:rPr>
                <w:rFonts w:hint="eastAsia"/>
                <w:color w:val="auto"/>
                <w:lang w:bidi="ar"/>
              </w:rPr>
              <w:t>5.供应商提供的以上服务</w:t>
            </w:r>
            <w:r>
              <w:rPr>
                <w:color w:val="auto"/>
                <w:lang w:bidi="ar"/>
              </w:rPr>
              <w:t>，包括但不限于</w:t>
            </w:r>
            <w:r>
              <w:rPr>
                <w:rFonts w:hint="eastAsia"/>
                <w:color w:val="auto"/>
                <w:lang w:bidi="ar"/>
              </w:rPr>
              <w:t>项目信息咨询、报告解读等</w:t>
            </w:r>
            <w:r>
              <w:rPr>
                <w:color w:val="auto"/>
                <w:lang w:bidi="ar"/>
              </w:rPr>
              <w:t>，不得收取任何额外费用。</w:t>
            </w:r>
          </w:p>
          <w:p>
            <w:pPr>
              <w:pStyle w:val="9"/>
              <w:rPr>
                <w:color w:val="auto"/>
                <w:lang w:bidi="ar"/>
              </w:rPr>
            </w:pPr>
          </w:p>
          <w:p>
            <w:pPr>
              <w:pStyle w:val="9"/>
              <w:rPr>
                <w:b/>
                <w:bCs w:val="0"/>
                <w:color w:val="auto"/>
                <w:lang w:bidi="ar"/>
              </w:rPr>
            </w:pPr>
            <w:r>
              <w:rPr>
                <w:rFonts w:hint="eastAsia"/>
                <w:b/>
                <w:bCs w:val="0"/>
                <w:color w:val="auto"/>
                <w:lang w:bidi="ar"/>
              </w:rPr>
              <w:t>第六部分：物流服务</w:t>
            </w:r>
          </w:p>
          <w:p>
            <w:pPr>
              <w:pStyle w:val="9"/>
              <w:rPr>
                <w:color w:val="auto"/>
                <w:lang w:bidi="ar"/>
              </w:rPr>
            </w:pPr>
            <w:r>
              <w:rPr>
                <w:rFonts w:hint="eastAsia"/>
                <w:color w:val="auto"/>
                <w:lang w:bidi="ar"/>
              </w:rPr>
              <w:t>*1.供应商需提供上门收取临床样本和冷链运输服务，按照国家标准最新版《医学检验生物样本冷链物流运作规范》执行，样本物流状态全流程信息化管理。若因不可抗力因素未能在30min到达现场的，应及时与医院相应负责人进行联系沟通，并尽快给出处理方法。</w:t>
            </w:r>
          </w:p>
          <w:p>
            <w:pPr>
              <w:pStyle w:val="9"/>
              <w:rPr>
                <w:color w:val="auto"/>
                <w:lang w:bidi="ar"/>
              </w:rPr>
            </w:pPr>
          </w:p>
          <w:p>
            <w:pPr>
              <w:pStyle w:val="9"/>
              <w:rPr>
                <w:rFonts w:eastAsia="宋体"/>
                <w:color w:val="auto"/>
                <w:lang w:bidi="ar"/>
              </w:rPr>
            </w:pPr>
            <w:r>
              <w:rPr>
                <w:rFonts w:hint="eastAsia"/>
                <w:color w:val="auto"/>
                <w:lang w:bidi="ar"/>
              </w:rPr>
              <w:t>2.供应商对所有送检样本除实验正常使用消耗外，剩余样本均按照</w:t>
            </w:r>
            <w:r>
              <w:rPr>
                <w:rFonts w:hint="eastAsia" w:ascii="宋体" w:hAnsi="宋体" w:eastAsia="宋体" w:cs="宋体"/>
                <w:color w:val="auto"/>
                <w:szCs w:val="21"/>
              </w:rPr>
              <w:t>《医疗机构管理条例实施细则》及国标最新版的《医学实验室——样本采集、运送、接收和处理的要求》进行保存，对于保存到期的样本，按照最新版《医疗卫生机构医疗废物管理办法》进行规范处理并做好相应记录。</w:t>
            </w:r>
          </w:p>
          <w:p>
            <w:pPr>
              <w:pStyle w:val="9"/>
              <w:rPr>
                <w:rFonts w:eastAsia="宋体"/>
                <w:color w:val="auto"/>
                <w:lang w:bidi="ar"/>
              </w:rPr>
            </w:pPr>
          </w:p>
          <w:p>
            <w:pPr>
              <w:pStyle w:val="9"/>
              <w:rPr>
                <w:b/>
                <w:bCs w:val="0"/>
                <w:color w:val="auto"/>
                <w:lang w:bidi="ar"/>
              </w:rPr>
            </w:pPr>
            <w:r>
              <w:rPr>
                <w:rFonts w:hint="eastAsia"/>
                <w:b/>
                <w:bCs w:val="0"/>
                <w:color w:val="auto"/>
                <w:lang w:bidi="ar"/>
              </w:rPr>
              <w:t>第七部分：服务评价</w:t>
            </w:r>
          </w:p>
          <w:p>
            <w:pPr>
              <w:pStyle w:val="9"/>
              <w:rPr>
                <w:color w:val="auto"/>
              </w:rPr>
            </w:pPr>
            <w:r>
              <w:rPr>
                <w:rFonts w:hint="eastAsia"/>
                <w:color w:val="auto"/>
              </w:rPr>
              <w:t>1.</w:t>
            </w:r>
            <w:r>
              <w:rPr>
                <w:rFonts w:hint="eastAsia" w:ascii="宋体" w:hAnsi="宋体" w:eastAsia="宋体" w:cs="宋体"/>
                <w:color w:val="auto"/>
                <w:szCs w:val="21"/>
              </w:rPr>
              <w:t>供应商检测质量保证及质量指标要求：检验报告抽检合格率100%，报告发放及时率100%，物流平台差错率为0，临床满意率≥95%，病人投诉回复率100%。</w:t>
            </w:r>
          </w:p>
          <w:p>
            <w:pPr>
              <w:pStyle w:val="9"/>
              <w:rPr>
                <w:color w:val="auto"/>
              </w:rPr>
            </w:pPr>
          </w:p>
          <w:p>
            <w:pPr>
              <w:pStyle w:val="9"/>
              <w:rPr>
                <w:color w:val="auto"/>
              </w:rPr>
            </w:pPr>
            <w:r>
              <w:rPr>
                <w:rFonts w:hint="eastAsia" w:ascii="宋体" w:hAnsi="宋体" w:eastAsia="宋体" w:cs="宋体"/>
                <w:color w:val="auto"/>
                <w:szCs w:val="21"/>
              </w:rPr>
              <w:t>2.</w:t>
            </w:r>
            <w:r>
              <w:rPr>
                <w:rFonts w:hint="eastAsia"/>
                <w:color w:val="auto"/>
              </w:rPr>
              <w:t>医院定期对供应商服务进行评价，对于不满足的条款，供应商需一个月内给出解决方案，并进行调整。</w:t>
            </w:r>
          </w:p>
          <w:p>
            <w:pPr>
              <w:pStyle w:val="9"/>
              <w:rPr>
                <w:rFonts w:eastAsia="宋体"/>
                <w:color w:val="auto"/>
                <w:kern w:val="0"/>
                <w:lang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w:t>
            </w:r>
          </w:p>
        </w:tc>
      </w:tr>
      <w:tr>
        <w:trPr>
          <w:trHeight w:val="597" w:hRule="atLeast"/>
        </w:trPr>
        <w:tc>
          <w:tcPr>
            <w:tcW w:w="83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商务要求（服务类）</w:t>
            </w:r>
          </w:p>
        </w:tc>
      </w:tr>
      <w:tr>
        <w:trPr>
          <w:trHeight w:val="61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1</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Cs w:val="21"/>
              </w:rPr>
            </w:pPr>
            <w:r>
              <w:rPr>
                <w:rFonts w:hint="eastAsia" w:ascii="宋体" w:hAnsi="宋体" w:eastAsia="宋体" w:cs="宋体"/>
                <w:color w:val="auto"/>
                <w:szCs w:val="21"/>
              </w:rPr>
              <w:t>本合同履行期限3年，自合同生效之日起算。</w:t>
            </w:r>
          </w:p>
        </w:tc>
      </w:tr>
      <w:tr>
        <w:trPr>
          <w:trHeight w:val="61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2</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olor w:val="auto"/>
              </w:rPr>
            </w:pPr>
            <w:r>
              <w:rPr>
                <w:rFonts w:hint="eastAsia" w:ascii="宋体" w:hAnsi="宋体"/>
                <w:color w:val="auto"/>
              </w:rPr>
              <w:t>交付</w:t>
            </w:r>
            <w:r>
              <w:rPr>
                <w:rFonts w:ascii="宋体" w:hAnsi="宋体"/>
                <w:color w:val="auto"/>
              </w:rPr>
              <w:t>时间：</w:t>
            </w:r>
          </w:p>
          <w:p>
            <w:pPr>
              <w:ind w:firstLine="420" w:firstLineChars="200"/>
              <w:rPr>
                <w:rFonts w:hint="eastAsia" w:ascii="宋体" w:hAnsi="宋体" w:eastAsia="宋体" w:cs="宋体"/>
                <w:color w:val="auto"/>
                <w:szCs w:val="21"/>
              </w:rPr>
            </w:pPr>
            <w:r>
              <w:rPr>
                <w:rFonts w:hint="eastAsia" w:ascii="宋体" w:hAnsi="宋体" w:cs="宋体"/>
                <w:color w:val="auto"/>
              </w:rPr>
              <w:t>根据检测项目约定的报告时间进行报告发放；如不能按时提供报告的，请出示相关说明并及时与临床沟通。若中标供应商未按照合同约定时间及时完成报告发放的，医院有权单方追责，并要求中标供应商赔偿全部经济损失。</w:t>
            </w:r>
          </w:p>
        </w:tc>
      </w:tr>
      <w:tr>
        <w:tblPrEx>
          <w:tblCellMar>
            <w:top w:w="0" w:type="dxa"/>
            <w:left w:w="108" w:type="dxa"/>
            <w:bottom w:w="0" w:type="dxa"/>
            <w:right w:w="108" w:type="dxa"/>
          </w:tblCellMar>
        </w:tblPrEx>
        <w:trPr>
          <w:trHeight w:val="61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3</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auto"/>
              </w:rPr>
            </w:pPr>
            <w:r>
              <w:rPr>
                <w:rFonts w:hint="eastAsia" w:ascii="宋体" w:hAnsi="宋体" w:cs="宋体"/>
                <w:color w:val="auto"/>
              </w:rPr>
              <w:t>交付地点：医院指定地点</w:t>
            </w:r>
          </w:p>
        </w:tc>
      </w:tr>
      <w:tr>
        <w:tblPrEx>
          <w:tblCellMar>
            <w:top w:w="0" w:type="dxa"/>
            <w:left w:w="108" w:type="dxa"/>
            <w:bottom w:w="0" w:type="dxa"/>
            <w:right w:w="108" w:type="dxa"/>
          </w:tblCellMar>
        </w:tblPrEx>
        <w:trPr>
          <w:trHeight w:val="61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4</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auto"/>
              </w:rPr>
            </w:pPr>
            <w:r>
              <w:rPr>
                <w:rFonts w:hint="eastAsia" w:ascii="宋体" w:hAnsi="宋体" w:cs="宋体"/>
                <w:color w:val="auto"/>
              </w:rPr>
              <w:t>根据外送检测服务平台管理要求向医院支付管理服务费，支付标准为外送检测收入的2%。</w:t>
            </w:r>
          </w:p>
        </w:tc>
      </w:tr>
      <w:tr>
        <w:tblPrEx>
          <w:tblCellMar>
            <w:top w:w="0" w:type="dxa"/>
            <w:left w:w="108" w:type="dxa"/>
            <w:bottom w:w="0" w:type="dxa"/>
            <w:right w:w="108" w:type="dxa"/>
          </w:tblCellMar>
        </w:tblPrEx>
        <w:trPr>
          <w:trHeight w:val="147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5</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color w:val="auto"/>
              </w:rPr>
            </w:pPr>
            <w:r>
              <w:rPr>
                <w:rFonts w:hint="eastAsia"/>
                <w:color w:val="auto"/>
              </w:rPr>
              <w:t>中标供应商提供满足要求，且符合技术参数的试剂及检测服务，并保证交付质量和安全。因试剂耗材质量问题导致的一切后果、纠纷、责任均由中标供应商负责解决处理，并赔偿医院由此遭受的全部损失（包括但不限于医院律师费、诉讼费、鉴定费、保全费、公证费、调查费）。</w:t>
            </w:r>
          </w:p>
        </w:tc>
      </w:tr>
      <w:tr>
        <w:tblPrEx>
          <w:tblCellMar>
            <w:top w:w="0" w:type="dxa"/>
            <w:left w:w="108" w:type="dxa"/>
            <w:bottom w:w="0" w:type="dxa"/>
            <w:right w:w="108" w:type="dxa"/>
          </w:tblCellMar>
        </w:tblPrEx>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6</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color w:val="auto"/>
              </w:rPr>
            </w:pPr>
            <w:r>
              <w:rPr>
                <w:rFonts w:hint="eastAsia"/>
                <w:color w:val="auto"/>
              </w:rPr>
              <w:t>中标供应商提供的服务必须按照合同约定执行。对于未按照合同约定要求及执行的服务，应按照意愿要求完成整改。</w:t>
            </w:r>
          </w:p>
        </w:tc>
      </w:tr>
      <w:tr>
        <w:trPr>
          <w:trHeight w:val="807"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7</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color w:val="auto"/>
              </w:rPr>
            </w:pPr>
            <w:r>
              <w:rPr>
                <w:rFonts w:hint="eastAsia"/>
                <w:color w:val="auto"/>
              </w:rPr>
              <w:t>在本合同履行期间，若中标供应商的法定法定代表人、企业资质、企业规模、企业股权等发生变化，应及时以书面形式通知医院。</w:t>
            </w:r>
          </w:p>
        </w:tc>
      </w:tr>
      <w:tr>
        <w:trPr>
          <w:trHeight w:val="63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8</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color w:val="auto"/>
              </w:rPr>
            </w:pPr>
            <w:r>
              <w:rPr>
                <w:rFonts w:hint="eastAsia"/>
                <w:color w:val="auto"/>
              </w:rPr>
              <w:t>中标供应商承诺提供的全部服务不存在任何知识产权争论或其他纠纷，</w:t>
            </w:r>
          </w:p>
        </w:tc>
      </w:tr>
      <w:tr>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9</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color w:val="auto"/>
              </w:rPr>
            </w:pPr>
            <w:r>
              <w:rPr>
                <w:rFonts w:hint="eastAsia"/>
                <w:color w:val="auto"/>
              </w:rPr>
              <w:t>中标供应商承诺提供的全部服务不存在任何知识产权争议或其他纠纷，如因此造成中标供应商无法正常履行服务或第三方向医院主张权利等纠纷，均与医院方无关，由中标供应商自行解决并承担全部赔偿责任（包括但不限于因主张权利而产生的交通费、住宿费、律师费、诉讼费、保全费、公证费）。</w:t>
            </w:r>
          </w:p>
        </w:tc>
      </w:tr>
      <w:tr>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10</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color w:val="auto"/>
              </w:rPr>
            </w:pPr>
            <w:r>
              <w:rPr>
                <w:rFonts w:hint="eastAsia"/>
                <w:color w:val="auto"/>
              </w:rPr>
              <w:t>法律法规，造成无法正常履行服务的情况，经国家有关法定部门鉴定确认，医院有权解除合同。中标供应商应赔偿医院相关经济损失，承担法律责任（包括但不限于因主张权利而产生的交通费、住宿费、律师费、诉讼费、保全费、公证费）。</w:t>
            </w:r>
          </w:p>
        </w:tc>
      </w:tr>
      <w:tr>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color w:val="auto"/>
                <w:sz w:val="24"/>
                <w:szCs w:val="18"/>
              </w:rPr>
            </w:pPr>
            <w:r>
              <w:rPr>
                <w:color w:val="auto"/>
                <w:sz w:val="24"/>
                <w:szCs w:val="18"/>
              </w:rPr>
              <w:t>11</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color w:val="auto"/>
              </w:rPr>
            </w:pPr>
            <w:r>
              <w:rPr>
                <w:rFonts w:hint="eastAsia"/>
                <w:color w:val="auto"/>
              </w:rPr>
              <w:t>履行保密责任：</w:t>
            </w:r>
          </w:p>
          <w:p>
            <w:pPr>
              <w:pStyle w:val="9"/>
              <w:rPr>
                <w:color w:val="auto"/>
              </w:rPr>
            </w:pPr>
            <w:bookmarkStart w:id="3" w:name="OLE_LINK1"/>
            <w:r>
              <w:rPr>
                <w:rFonts w:hint="eastAsia"/>
                <w:color w:val="auto"/>
              </w:rPr>
              <w:t>①涉及样本、检测数据信息均需严格按照我国人类遗传学资源管理办法等相关要求执行。</w:t>
            </w:r>
          </w:p>
          <w:p>
            <w:pPr>
              <w:pStyle w:val="9"/>
              <w:rPr>
                <w:color w:val="auto"/>
              </w:rPr>
            </w:pPr>
            <w:r>
              <w:rPr>
                <w:rFonts w:hint="eastAsia"/>
                <w:color w:val="auto"/>
              </w:rPr>
              <w:t>②双方均应对合同履行期间对方提供的资料信息以及履行合同过程中获知的技术信息、财务信息、患者信息及其他未公开信息履行保密义务，并在合同终止后长期保密，除履行本合同目的外，不得擅自使用、公开或泄露给第三方。若因一方擅自使用、公开或泄露另一方的保密信息而造成的损失，由违约方承担全部赔偿责任（包括但不限于因主张权利而产生的交通费、住宿费、律师费、诉讼费、保全费、公证费、调查费）。</w:t>
            </w:r>
            <w:bookmarkEnd w:id="3"/>
          </w:p>
        </w:tc>
      </w:tr>
      <w:tr>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eastAsia" w:eastAsia="宋体"/>
                <w:color w:val="auto"/>
                <w:sz w:val="24"/>
                <w:szCs w:val="18"/>
                <w:lang w:eastAsia="zh-CN"/>
              </w:rPr>
            </w:pPr>
            <w:r>
              <w:rPr>
                <w:color w:val="auto"/>
                <w:sz w:val="24"/>
                <w:szCs w:val="18"/>
              </w:rPr>
              <w:t>1</w:t>
            </w:r>
            <w:r>
              <w:rPr>
                <w:rFonts w:hint="eastAsia"/>
                <w:color w:val="auto"/>
                <w:sz w:val="24"/>
                <w:szCs w:val="18"/>
                <w:lang w:val="en-US" w:eastAsia="zh-CN"/>
              </w:rPr>
              <w:t>2</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rPr>
                <w:color w:val="auto"/>
              </w:rPr>
            </w:pPr>
            <w:r>
              <w:rPr>
                <w:rFonts w:hint="eastAsia"/>
                <w:color w:val="auto"/>
              </w:rPr>
              <w:t>科研服务:</w:t>
            </w:r>
          </w:p>
          <w:p>
            <w:pPr>
              <w:pStyle w:val="9"/>
              <w:rPr>
                <w:color w:val="auto"/>
              </w:rPr>
            </w:pPr>
            <w:r>
              <w:rPr>
                <w:rFonts w:hint="eastAsia"/>
                <w:color w:val="auto"/>
              </w:rPr>
              <w:t>供应商能提供</w:t>
            </w:r>
            <w:r>
              <w:rPr>
                <w:rFonts w:hint="eastAsia"/>
                <w:color w:val="auto"/>
                <w:lang w:val="en-US" w:eastAsia="zh-CN"/>
              </w:rPr>
              <w:t>分子</w:t>
            </w:r>
            <w:r>
              <w:rPr>
                <w:rFonts w:hint="eastAsia"/>
                <w:color w:val="auto"/>
              </w:rPr>
              <w:t>、</w:t>
            </w:r>
            <w:r>
              <w:rPr>
                <w:rFonts w:hint="eastAsia"/>
                <w:color w:val="auto"/>
                <w:lang w:val="en-US" w:eastAsia="zh-CN"/>
              </w:rPr>
              <w:t>免疫</w:t>
            </w:r>
            <w:r>
              <w:rPr>
                <w:rFonts w:hint="eastAsia"/>
                <w:color w:val="auto"/>
              </w:rPr>
              <w:t>等项目检测服务平台，为医院临床科室科研提供多平台技术支撑；保证科研项目的顺利开展。</w:t>
            </w:r>
          </w:p>
        </w:tc>
      </w:tr>
    </w:tbl>
    <w:p>
      <w:pPr>
        <w:jc w:val="left"/>
      </w:pPr>
      <w:bookmarkStart w:id="4" w:name="_GoBack"/>
      <w:bookmarkEnd w:id="4"/>
    </w:p>
    <w:p>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1267C"/>
    <w:multiLevelType w:val="singleLevel"/>
    <w:tmpl w:val="9161267C"/>
    <w:lvl w:ilvl="0" w:tentative="0">
      <w:start w:val="1"/>
      <w:numFmt w:val="decimalEnclosedCircleChinese"/>
      <w:suff w:val="nothing"/>
      <w:lvlText w:val="%1　"/>
      <w:lvlJc w:val="left"/>
      <w:pPr>
        <w:ind w:left="0" w:firstLine="0"/>
      </w:pPr>
      <w:rPr>
        <w:rFonts w:hint="eastAsia"/>
      </w:rPr>
    </w:lvl>
  </w:abstractNum>
  <w:abstractNum w:abstractNumId="1">
    <w:nsid w:val="9C6D9258"/>
    <w:multiLevelType w:val="singleLevel"/>
    <w:tmpl w:val="9C6D9258"/>
    <w:lvl w:ilvl="0" w:tentative="0">
      <w:start w:val="1"/>
      <w:numFmt w:val="decimalEnclosedCircleChinese"/>
      <w:suff w:val="nothing"/>
      <w:lvlText w:val="%1　"/>
      <w:lvlJc w:val="left"/>
      <w:pPr>
        <w:ind w:left="0" w:firstLine="0"/>
      </w:pPr>
      <w:rPr>
        <w:rFonts w:hint="eastAsia"/>
      </w:rPr>
    </w:lvl>
  </w:abstractNum>
  <w:abstractNum w:abstractNumId="2">
    <w:nsid w:val="DB2D010E"/>
    <w:multiLevelType w:val="singleLevel"/>
    <w:tmpl w:val="DB2D010E"/>
    <w:lvl w:ilvl="0" w:tentative="0">
      <w:start w:val="1"/>
      <w:numFmt w:val="decimalEnclosedCircleChinese"/>
      <w:suff w:val="nothing"/>
      <w:lvlText w:val="%1　"/>
      <w:lvlJc w:val="left"/>
      <w:pPr>
        <w:ind w:left="0" w:firstLine="0"/>
      </w:pPr>
      <w:rPr>
        <w:rFonts w:hint="eastAsia"/>
      </w:rPr>
    </w:lvl>
  </w:abstractNum>
  <w:abstractNum w:abstractNumId="3">
    <w:nsid w:val="E062C908"/>
    <w:multiLevelType w:val="singleLevel"/>
    <w:tmpl w:val="E062C908"/>
    <w:lvl w:ilvl="0" w:tentative="0">
      <w:start w:val="1"/>
      <w:numFmt w:val="decimalEnclosedCircleChinese"/>
      <w:suff w:val="nothing"/>
      <w:lvlText w:val="%1　"/>
      <w:lvlJc w:val="left"/>
      <w:pPr>
        <w:ind w:left="0" w:firstLine="0"/>
      </w:pPr>
      <w:rPr>
        <w:rFonts w:hint="eastAsia"/>
      </w:rPr>
    </w:lvl>
  </w:abstractNum>
  <w:abstractNum w:abstractNumId="4">
    <w:nsid w:val="F1933168"/>
    <w:multiLevelType w:val="singleLevel"/>
    <w:tmpl w:val="F1933168"/>
    <w:lvl w:ilvl="0" w:tentative="0">
      <w:start w:val="6"/>
      <w:numFmt w:val="decimal"/>
      <w:lvlText w:val="%1."/>
      <w:lvlJc w:val="left"/>
      <w:pPr>
        <w:tabs>
          <w:tab w:val="left" w:pos="312"/>
        </w:tabs>
      </w:pPr>
    </w:lvl>
  </w:abstractNum>
  <w:abstractNum w:abstractNumId="5">
    <w:nsid w:val="06305725"/>
    <w:multiLevelType w:val="singleLevel"/>
    <w:tmpl w:val="06305725"/>
    <w:lvl w:ilvl="0" w:tentative="0">
      <w:start w:val="1"/>
      <w:numFmt w:val="decimalEnclosedCircleChinese"/>
      <w:suff w:val="nothing"/>
      <w:lvlText w:val="%1　"/>
      <w:lvlJc w:val="left"/>
      <w:pPr>
        <w:ind w:left="0" w:firstLine="0"/>
      </w:pPr>
      <w:rPr>
        <w:rFonts w:hint="eastAsia"/>
      </w:rPr>
    </w:lvl>
  </w:abstractNum>
  <w:abstractNum w:abstractNumId="6">
    <w:nsid w:val="7B119707"/>
    <w:multiLevelType w:val="singleLevel"/>
    <w:tmpl w:val="7B119707"/>
    <w:lvl w:ilvl="0" w:tentative="0">
      <w:start w:val="1"/>
      <w:numFmt w:val="decimalEnclosedCircleChinese"/>
      <w:suff w:val="nothing"/>
      <w:lvlText w:val="%1　"/>
      <w:lvlJc w:val="left"/>
      <w:pPr>
        <w:ind w:left="0" w:firstLine="0"/>
      </w:pPr>
      <w:rPr>
        <w:rFonts w:hint="eastAsia"/>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NGFiMTM0OGEzMjAzOWQzNjc0MTlkYTZkZjk5ZGUifQ=="/>
    <w:docVar w:name="KSO_WPS_MARK_KEY" w:val="1bbd66f8-d2a0-4272-96ce-8abc64b7d4a3"/>
  </w:docVars>
  <w:rsids>
    <w:rsidRoot w:val="3D9F2BC4"/>
    <w:rsid w:val="0003091A"/>
    <w:rsid w:val="00065BB2"/>
    <w:rsid w:val="000B296F"/>
    <w:rsid w:val="0010644B"/>
    <w:rsid w:val="00115E92"/>
    <w:rsid w:val="00144A37"/>
    <w:rsid w:val="00150A45"/>
    <w:rsid w:val="00206008"/>
    <w:rsid w:val="00237C88"/>
    <w:rsid w:val="00253C77"/>
    <w:rsid w:val="002734E2"/>
    <w:rsid w:val="003059A9"/>
    <w:rsid w:val="0031240C"/>
    <w:rsid w:val="003501EE"/>
    <w:rsid w:val="003653E6"/>
    <w:rsid w:val="00370C63"/>
    <w:rsid w:val="00425AD5"/>
    <w:rsid w:val="004E204E"/>
    <w:rsid w:val="00550D2E"/>
    <w:rsid w:val="005625C2"/>
    <w:rsid w:val="00566D06"/>
    <w:rsid w:val="00586316"/>
    <w:rsid w:val="006332FE"/>
    <w:rsid w:val="006C5031"/>
    <w:rsid w:val="006F0066"/>
    <w:rsid w:val="00742A04"/>
    <w:rsid w:val="00782D6E"/>
    <w:rsid w:val="007B7E70"/>
    <w:rsid w:val="007F2DCF"/>
    <w:rsid w:val="00801B49"/>
    <w:rsid w:val="00804389"/>
    <w:rsid w:val="0084368E"/>
    <w:rsid w:val="00854E84"/>
    <w:rsid w:val="00857915"/>
    <w:rsid w:val="008703BA"/>
    <w:rsid w:val="008C3E90"/>
    <w:rsid w:val="008E065E"/>
    <w:rsid w:val="00956CDE"/>
    <w:rsid w:val="009E4693"/>
    <w:rsid w:val="00A20D21"/>
    <w:rsid w:val="00AB12B2"/>
    <w:rsid w:val="00AF0009"/>
    <w:rsid w:val="00AF18B4"/>
    <w:rsid w:val="00AF788E"/>
    <w:rsid w:val="00B14B44"/>
    <w:rsid w:val="00B16AB9"/>
    <w:rsid w:val="00B24BA9"/>
    <w:rsid w:val="00B9058B"/>
    <w:rsid w:val="00BE22AB"/>
    <w:rsid w:val="00C447E5"/>
    <w:rsid w:val="00CA1627"/>
    <w:rsid w:val="00CB5E93"/>
    <w:rsid w:val="00CC1D84"/>
    <w:rsid w:val="00D01E4E"/>
    <w:rsid w:val="00D25021"/>
    <w:rsid w:val="00DC34D0"/>
    <w:rsid w:val="00E1772B"/>
    <w:rsid w:val="00E23115"/>
    <w:rsid w:val="00E55008"/>
    <w:rsid w:val="00E72C3D"/>
    <w:rsid w:val="00E74098"/>
    <w:rsid w:val="00E96800"/>
    <w:rsid w:val="00EF65E6"/>
    <w:rsid w:val="00F0734A"/>
    <w:rsid w:val="00F463F3"/>
    <w:rsid w:val="00F849C8"/>
    <w:rsid w:val="00FA21B6"/>
    <w:rsid w:val="00FA63B5"/>
    <w:rsid w:val="02467A44"/>
    <w:rsid w:val="039B4460"/>
    <w:rsid w:val="03BF4F2A"/>
    <w:rsid w:val="03DF23D3"/>
    <w:rsid w:val="0420385E"/>
    <w:rsid w:val="04A70542"/>
    <w:rsid w:val="04FF037E"/>
    <w:rsid w:val="08067968"/>
    <w:rsid w:val="086C757D"/>
    <w:rsid w:val="088766C0"/>
    <w:rsid w:val="08FE7820"/>
    <w:rsid w:val="09186DC7"/>
    <w:rsid w:val="09F87A98"/>
    <w:rsid w:val="0B0B18A2"/>
    <w:rsid w:val="0B740516"/>
    <w:rsid w:val="0DF66117"/>
    <w:rsid w:val="0E523EBD"/>
    <w:rsid w:val="0E690753"/>
    <w:rsid w:val="0F144BE2"/>
    <w:rsid w:val="103C2486"/>
    <w:rsid w:val="104B26C9"/>
    <w:rsid w:val="11DA3E22"/>
    <w:rsid w:val="14382F65"/>
    <w:rsid w:val="14751AAB"/>
    <w:rsid w:val="15003A82"/>
    <w:rsid w:val="158D75C6"/>
    <w:rsid w:val="15930F5A"/>
    <w:rsid w:val="15BB2882"/>
    <w:rsid w:val="15CA5E3E"/>
    <w:rsid w:val="16203724"/>
    <w:rsid w:val="179D1A5D"/>
    <w:rsid w:val="17E15AA1"/>
    <w:rsid w:val="187A3B4C"/>
    <w:rsid w:val="187B674C"/>
    <w:rsid w:val="18E86ED2"/>
    <w:rsid w:val="18F71640"/>
    <w:rsid w:val="1912211A"/>
    <w:rsid w:val="19CA0B03"/>
    <w:rsid w:val="1A2C026E"/>
    <w:rsid w:val="1B881BF8"/>
    <w:rsid w:val="1BA15893"/>
    <w:rsid w:val="1BAF1D5E"/>
    <w:rsid w:val="1BD658DF"/>
    <w:rsid w:val="1CE17872"/>
    <w:rsid w:val="1E8F40C9"/>
    <w:rsid w:val="1EDD3086"/>
    <w:rsid w:val="1F2376C0"/>
    <w:rsid w:val="1F763E9F"/>
    <w:rsid w:val="1FE4714B"/>
    <w:rsid w:val="2099122F"/>
    <w:rsid w:val="220426D8"/>
    <w:rsid w:val="223B2E14"/>
    <w:rsid w:val="226D64CF"/>
    <w:rsid w:val="22CF2056"/>
    <w:rsid w:val="23211FA6"/>
    <w:rsid w:val="23BA05EA"/>
    <w:rsid w:val="24066EFA"/>
    <w:rsid w:val="2420751A"/>
    <w:rsid w:val="247458C6"/>
    <w:rsid w:val="255319AC"/>
    <w:rsid w:val="25891872"/>
    <w:rsid w:val="25B3069D"/>
    <w:rsid w:val="2787548C"/>
    <w:rsid w:val="28E442B2"/>
    <w:rsid w:val="290C4C94"/>
    <w:rsid w:val="29226266"/>
    <w:rsid w:val="296C02F7"/>
    <w:rsid w:val="29997167"/>
    <w:rsid w:val="2A2B25C9"/>
    <w:rsid w:val="2A5D1326"/>
    <w:rsid w:val="2A73489F"/>
    <w:rsid w:val="2A9C48B9"/>
    <w:rsid w:val="2B3632AC"/>
    <w:rsid w:val="2B473D61"/>
    <w:rsid w:val="2B726FF9"/>
    <w:rsid w:val="2B824D9A"/>
    <w:rsid w:val="2BB37649"/>
    <w:rsid w:val="2BF938D6"/>
    <w:rsid w:val="2C540E31"/>
    <w:rsid w:val="2CB01DDA"/>
    <w:rsid w:val="2DB937BE"/>
    <w:rsid w:val="2DF040A3"/>
    <w:rsid w:val="2DFA714E"/>
    <w:rsid w:val="2E1243B5"/>
    <w:rsid w:val="2E570909"/>
    <w:rsid w:val="2EA9483D"/>
    <w:rsid w:val="2ED636DE"/>
    <w:rsid w:val="300541EB"/>
    <w:rsid w:val="306C426A"/>
    <w:rsid w:val="30962569"/>
    <w:rsid w:val="30E431D4"/>
    <w:rsid w:val="3106293C"/>
    <w:rsid w:val="31097D0B"/>
    <w:rsid w:val="31463A53"/>
    <w:rsid w:val="3189172F"/>
    <w:rsid w:val="335602FC"/>
    <w:rsid w:val="33C643FD"/>
    <w:rsid w:val="341E3ACD"/>
    <w:rsid w:val="343432F1"/>
    <w:rsid w:val="34456A62"/>
    <w:rsid w:val="34CE2BDC"/>
    <w:rsid w:val="35775243"/>
    <w:rsid w:val="363D668C"/>
    <w:rsid w:val="37931D29"/>
    <w:rsid w:val="37B52943"/>
    <w:rsid w:val="37CA1A9C"/>
    <w:rsid w:val="38920A26"/>
    <w:rsid w:val="38994E4C"/>
    <w:rsid w:val="38BD4762"/>
    <w:rsid w:val="39EB6200"/>
    <w:rsid w:val="3A7A14C5"/>
    <w:rsid w:val="3BCE7B87"/>
    <w:rsid w:val="3C330E21"/>
    <w:rsid w:val="3C5C33E5"/>
    <w:rsid w:val="3C862FBA"/>
    <w:rsid w:val="3CCD76DA"/>
    <w:rsid w:val="3D2832C7"/>
    <w:rsid w:val="3D3D17D7"/>
    <w:rsid w:val="3D4F4CF8"/>
    <w:rsid w:val="3D9F2BC4"/>
    <w:rsid w:val="3DD641BC"/>
    <w:rsid w:val="3E185B43"/>
    <w:rsid w:val="3E56157A"/>
    <w:rsid w:val="40E4133E"/>
    <w:rsid w:val="40EE65D6"/>
    <w:rsid w:val="41006CB2"/>
    <w:rsid w:val="4142704D"/>
    <w:rsid w:val="415A37E4"/>
    <w:rsid w:val="42171046"/>
    <w:rsid w:val="424B36B1"/>
    <w:rsid w:val="425A7500"/>
    <w:rsid w:val="429A6A15"/>
    <w:rsid w:val="42A32262"/>
    <w:rsid w:val="430F548C"/>
    <w:rsid w:val="435C1F1C"/>
    <w:rsid w:val="441427F7"/>
    <w:rsid w:val="446F4934"/>
    <w:rsid w:val="448160DE"/>
    <w:rsid w:val="456C5D9F"/>
    <w:rsid w:val="46BF4C9C"/>
    <w:rsid w:val="46D24815"/>
    <w:rsid w:val="4767205E"/>
    <w:rsid w:val="47D06A35"/>
    <w:rsid w:val="47DD1C37"/>
    <w:rsid w:val="481132D5"/>
    <w:rsid w:val="4A6E0AC8"/>
    <w:rsid w:val="4C4C3AF9"/>
    <w:rsid w:val="4CDA6C08"/>
    <w:rsid w:val="4D403564"/>
    <w:rsid w:val="4DE272A8"/>
    <w:rsid w:val="4E3E1419"/>
    <w:rsid w:val="4E670C3E"/>
    <w:rsid w:val="4EA529C9"/>
    <w:rsid w:val="4F413C24"/>
    <w:rsid w:val="4FB22260"/>
    <w:rsid w:val="4FDD0EDE"/>
    <w:rsid w:val="50516303"/>
    <w:rsid w:val="508F539B"/>
    <w:rsid w:val="518875BE"/>
    <w:rsid w:val="51C0386C"/>
    <w:rsid w:val="52195854"/>
    <w:rsid w:val="52287B99"/>
    <w:rsid w:val="52BB3284"/>
    <w:rsid w:val="53784B50"/>
    <w:rsid w:val="546D5D37"/>
    <w:rsid w:val="55521B83"/>
    <w:rsid w:val="55E92409"/>
    <w:rsid w:val="55ED726B"/>
    <w:rsid w:val="56245108"/>
    <w:rsid w:val="568850AA"/>
    <w:rsid w:val="58AD45AB"/>
    <w:rsid w:val="59063337"/>
    <w:rsid w:val="596A0A97"/>
    <w:rsid w:val="59CE67FB"/>
    <w:rsid w:val="5A38184E"/>
    <w:rsid w:val="5B152C85"/>
    <w:rsid w:val="5B484CE1"/>
    <w:rsid w:val="5C7555D8"/>
    <w:rsid w:val="5CC069BB"/>
    <w:rsid w:val="5E9465B6"/>
    <w:rsid w:val="5E96232F"/>
    <w:rsid w:val="5EA66AD7"/>
    <w:rsid w:val="5EDF21FF"/>
    <w:rsid w:val="5F7B1AC6"/>
    <w:rsid w:val="5FC058B5"/>
    <w:rsid w:val="601479AF"/>
    <w:rsid w:val="609D5BF6"/>
    <w:rsid w:val="60C35147"/>
    <w:rsid w:val="6267026A"/>
    <w:rsid w:val="62D17DD9"/>
    <w:rsid w:val="62E84201"/>
    <w:rsid w:val="62FA10DE"/>
    <w:rsid w:val="6417181C"/>
    <w:rsid w:val="642E473C"/>
    <w:rsid w:val="642F3009"/>
    <w:rsid w:val="648463F3"/>
    <w:rsid w:val="64D70FAB"/>
    <w:rsid w:val="64D94D23"/>
    <w:rsid w:val="65295CAB"/>
    <w:rsid w:val="65314AB8"/>
    <w:rsid w:val="65473DE6"/>
    <w:rsid w:val="655D7764"/>
    <w:rsid w:val="656F066D"/>
    <w:rsid w:val="65D73958"/>
    <w:rsid w:val="663D6139"/>
    <w:rsid w:val="682576FF"/>
    <w:rsid w:val="68F474BC"/>
    <w:rsid w:val="69D00DEB"/>
    <w:rsid w:val="6B1D30B9"/>
    <w:rsid w:val="6B5477F9"/>
    <w:rsid w:val="6C4E0BFC"/>
    <w:rsid w:val="6C8D4D71"/>
    <w:rsid w:val="6CAB756D"/>
    <w:rsid w:val="6CB30AE5"/>
    <w:rsid w:val="6D2770DB"/>
    <w:rsid w:val="6E094833"/>
    <w:rsid w:val="6E105C5A"/>
    <w:rsid w:val="6E55001A"/>
    <w:rsid w:val="6E625D89"/>
    <w:rsid w:val="6F0137F4"/>
    <w:rsid w:val="6F165B32"/>
    <w:rsid w:val="71116A20"/>
    <w:rsid w:val="7145658E"/>
    <w:rsid w:val="716F07D5"/>
    <w:rsid w:val="71756622"/>
    <w:rsid w:val="73426189"/>
    <w:rsid w:val="74512BC5"/>
    <w:rsid w:val="75383BC2"/>
    <w:rsid w:val="75DF4163"/>
    <w:rsid w:val="75FC56CF"/>
    <w:rsid w:val="76465606"/>
    <w:rsid w:val="767073EA"/>
    <w:rsid w:val="77055368"/>
    <w:rsid w:val="773C2EEE"/>
    <w:rsid w:val="774B4D2E"/>
    <w:rsid w:val="775757CD"/>
    <w:rsid w:val="77B261D9"/>
    <w:rsid w:val="77E4627F"/>
    <w:rsid w:val="780976E1"/>
    <w:rsid w:val="782F13D2"/>
    <w:rsid w:val="79061B07"/>
    <w:rsid w:val="79E306C6"/>
    <w:rsid w:val="7A6B1225"/>
    <w:rsid w:val="7C3074C7"/>
    <w:rsid w:val="7CF76237"/>
    <w:rsid w:val="7E7C5A44"/>
    <w:rsid w:val="7E8B30DA"/>
    <w:rsid w:val="7FD4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Plain Text"/>
    <w:basedOn w:val="1"/>
    <w:qFormat/>
    <w:uiPriority w:val="0"/>
    <w:rPr>
      <w:rFonts w:hint="eastAsia" w:ascii="宋体" w:hAnsi="Courier New" w:eastAsia="宋体" w:cs="Times New Roman"/>
      <w:kern w:val="0"/>
      <w:sz w:val="28"/>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rFonts w:ascii="Times New Roman"/>
      <w:bCs/>
      <w:spacing w:val="10"/>
      <w:szCs w:val="20"/>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6436</Words>
  <Characters>7035</Characters>
  <Lines>37</Lines>
  <Paragraphs>10</Paragraphs>
  <TotalTime>12</TotalTime>
  <ScaleCrop>false</ScaleCrop>
  <LinksUpToDate>false</LinksUpToDate>
  <CharactersWithSpaces>7123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2024-03-22T07:02:00Z</dcterms:created>
  <dc:creator>欧阳！</dc:creator>
  <cp:lastModifiedBy>Lucien</cp:lastModifiedBy>
  <dcterms:modified xsi:type="dcterms:W3CDTF">2025-01-07T00:32:31Z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D7AD2ED75558470FB4595B7A61939B51_13</vt:lpwstr>
  </property>
  <property fmtid="{D5CDD505-2E9C-101B-9397-08002B2CF9AE}" pid="4" name="KSOTemplateDocerSaveRecord">
    <vt:lpwstr>eyJoZGlkIjoiMzEwNTM5NzYwMDRjMzkwZTVkZjY2ODkwMGIxNGU0OTUiLCJ1c2VySWQiOiI3MDY0NTYyNTYifQ==</vt:lpwstr>
  </property>
</Properties>
</file>